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3AB9C" w14:textId="77777777" w:rsidR="00AD4FD5" w:rsidRPr="002864D8" w:rsidRDefault="007A1230" w:rsidP="00D44603">
      <w:pPr>
        <w:spacing w:before="60" w:after="0"/>
        <w:jc w:val="both"/>
        <w:rPr>
          <w:b/>
          <w:noProof/>
          <w:color w:val="C00000"/>
          <w:sz w:val="28"/>
          <w:szCs w:val="28"/>
        </w:rPr>
      </w:pPr>
      <w:r w:rsidRPr="002864D8">
        <w:rPr>
          <w:b/>
          <w:noProof/>
          <w:color w:val="C00000"/>
          <w:sz w:val="28"/>
          <w:szCs w:val="28"/>
        </w:rPr>
        <w:t>Wann gelingt Netzwerkarbeit? - Zusatzmaterial</w:t>
      </w:r>
    </w:p>
    <w:p w14:paraId="137B412A" w14:textId="77777777" w:rsidR="007A1230" w:rsidRPr="002864D8" w:rsidRDefault="007A1230" w:rsidP="00D44603">
      <w:pPr>
        <w:spacing w:before="60" w:after="0"/>
        <w:jc w:val="both"/>
        <w:rPr>
          <w:noProof/>
          <w:sz w:val="24"/>
          <w:szCs w:val="24"/>
        </w:rPr>
      </w:pPr>
    </w:p>
    <w:p w14:paraId="7A7F924A" w14:textId="77777777" w:rsidR="007A1230" w:rsidRPr="002864D8" w:rsidRDefault="007A1230" w:rsidP="00D44603">
      <w:pPr>
        <w:spacing w:before="60" w:after="0"/>
        <w:jc w:val="both"/>
        <w:rPr>
          <w:noProof/>
          <w:sz w:val="24"/>
          <w:szCs w:val="24"/>
        </w:rPr>
      </w:pPr>
      <w:r w:rsidRPr="002864D8">
        <w:rPr>
          <w:noProof/>
          <w:sz w:val="24"/>
          <w:szCs w:val="24"/>
        </w:rPr>
        <w:t xml:space="preserve">Die </w:t>
      </w:r>
      <w:r w:rsidRPr="002864D8">
        <w:rPr>
          <w:b/>
          <w:noProof/>
          <w:sz w:val="24"/>
          <w:szCs w:val="24"/>
        </w:rPr>
        <w:t>Gelingensbedingungen</w:t>
      </w:r>
      <w:r w:rsidRPr="002864D8">
        <w:rPr>
          <w:noProof/>
          <w:sz w:val="24"/>
          <w:szCs w:val="24"/>
        </w:rPr>
        <w:t xml:space="preserve"> für erfolgreiche Netzwerkarbeit sind vielfältig. Die folgende Übersicht differenziert Merkmale </w:t>
      </w:r>
      <w:r w:rsidR="00CE77D6" w:rsidRPr="002864D8">
        <w:rPr>
          <w:noProof/>
          <w:sz w:val="24"/>
          <w:szCs w:val="24"/>
        </w:rPr>
        <w:t xml:space="preserve">und Anschlussfragen </w:t>
      </w:r>
      <w:r w:rsidRPr="002864D8">
        <w:rPr>
          <w:noProof/>
          <w:sz w:val="24"/>
          <w:szCs w:val="24"/>
        </w:rPr>
        <w:t xml:space="preserve">auf den Ebenen der </w:t>
      </w:r>
      <w:r w:rsidRPr="002864D8">
        <w:rPr>
          <w:b/>
          <w:noProof/>
          <w:sz w:val="24"/>
          <w:szCs w:val="24"/>
        </w:rPr>
        <w:t>Netzwerkarchitektur</w:t>
      </w:r>
      <w:r w:rsidRPr="002864D8">
        <w:rPr>
          <w:noProof/>
          <w:sz w:val="24"/>
          <w:szCs w:val="24"/>
        </w:rPr>
        <w:t xml:space="preserve">, der </w:t>
      </w:r>
      <w:r w:rsidRPr="002864D8">
        <w:rPr>
          <w:b/>
          <w:noProof/>
          <w:sz w:val="24"/>
          <w:szCs w:val="24"/>
        </w:rPr>
        <w:t>Netzwerkkultur</w:t>
      </w:r>
      <w:r w:rsidRPr="002864D8">
        <w:rPr>
          <w:noProof/>
          <w:sz w:val="24"/>
          <w:szCs w:val="24"/>
        </w:rPr>
        <w:t xml:space="preserve">, des </w:t>
      </w:r>
      <w:r w:rsidRPr="002864D8">
        <w:rPr>
          <w:b/>
          <w:noProof/>
          <w:sz w:val="24"/>
          <w:szCs w:val="24"/>
        </w:rPr>
        <w:t>Netzwerkmanagements</w:t>
      </w:r>
      <w:r w:rsidRPr="002864D8">
        <w:rPr>
          <w:noProof/>
          <w:sz w:val="24"/>
          <w:szCs w:val="24"/>
        </w:rPr>
        <w:t xml:space="preserve"> und der </w:t>
      </w:r>
      <w:r w:rsidRPr="002864D8">
        <w:rPr>
          <w:b/>
          <w:noProof/>
          <w:sz w:val="24"/>
          <w:szCs w:val="24"/>
        </w:rPr>
        <w:t>beteiligten Schulen</w:t>
      </w:r>
      <w:r w:rsidRPr="002864D8">
        <w:rPr>
          <w:noProof/>
          <w:sz w:val="24"/>
          <w:szCs w:val="24"/>
        </w:rPr>
        <w:t>.</w:t>
      </w:r>
      <w:r w:rsidR="00F75A61" w:rsidRPr="002864D8">
        <w:rPr>
          <w:noProof/>
          <w:sz w:val="24"/>
          <w:szCs w:val="24"/>
        </w:rPr>
        <w:t xml:space="preserve"> Dabei bedingen sich die unterschiedlichen Ebenen wechselseitig.</w:t>
      </w:r>
    </w:p>
    <w:p w14:paraId="78BAACB8" w14:textId="45F7CDA3" w:rsidR="007A1230" w:rsidRPr="002864D8" w:rsidRDefault="00D47EC0" w:rsidP="00D44603">
      <w:pPr>
        <w:spacing w:before="60"/>
        <w:jc w:val="both"/>
        <w:rPr>
          <w:noProof/>
          <w:sz w:val="24"/>
          <w:szCs w:val="24"/>
        </w:rPr>
      </w:pPr>
      <w:r w:rsidRPr="002864D8">
        <w:rPr>
          <w:noProof/>
          <w:sz w:val="24"/>
          <w:szCs w:val="24"/>
        </w:rPr>
        <w:t xml:space="preserve">Die Anschlussfragen bilden noch keine Gelingensbedingungen ab, sondern zeigen auf, mit welchen Aspekten man sich </w:t>
      </w:r>
      <w:r w:rsidR="00A51205" w:rsidRPr="002864D8">
        <w:rPr>
          <w:noProof/>
          <w:sz w:val="24"/>
          <w:szCs w:val="24"/>
        </w:rPr>
        <w:t xml:space="preserve">auf dem Weg zu einer erfolgreichen Netzwerkarbeit </w:t>
      </w:r>
      <w:r w:rsidRPr="002864D8">
        <w:rPr>
          <w:noProof/>
          <w:sz w:val="24"/>
          <w:szCs w:val="24"/>
        </w:rPr>
        <w:t xml:space="preserve">auseinandersetzen </w:t>
      </w:r>
      <w:r w:rsidR="00A51205" w:rsidRPr="002864D8">
        <w:rPr>
          <w:noProof/>
          <w:sz w:val="24"/>
          <w:szCs w:val="24"/>
        </w:rPr>
        <w:t>sollte</w:t>
      </w:r>
      <w:r w:rsidRPr="002864D8">
        <w:rPr>
          <w:noProof/>
          <w:sz w:val="24"/>
          <w:szCs w:val="24"/>
        </w:rPr>
        <w:t xml:space="preserve">. Die individuelle Beantwortung der Fragen erfolgt vor dem Hintergrund der jeweiligen </w:t>
      </w:r>
      <w:r w:rsidR="00C016F8" w:rsidRPr="002864D8">
        <w:rPr>
          <w:noProof/>
          <w:sz w:val="24"/>
          <w:szCs w:val="24"/>
        </w:rPr>
        <w:t>Zielsetzungen und Rahmenbedingungen der Netzwerkarbeit.</w:t>
      </w:r>
      <w:r w:rsidR="00A51205" w:rsidRPr="002864D8">
        <w:rPr>
          <w:noProof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7"/>
      </w:tblGrid>
      <w:tr w:rsidR="007A1230" w:rsidRPr="002864D8" w14:paraId="6F5043EA" w14:textId="77777777" w:rsidTr="00971276">
        <w:tc>
          <w:tcPr>
            <w:tcW w:w="9210" w:type="dxa"/>
            <w:gridSpan w:val="2"/>
            <w:shd w:val="clear" w:color="auto" w:fill="BFBFBF"/>
          </w:tcPr>
          <w:p w14:paraId="2C8116B1" w14:textId="77777777" w:rsidR="007A1230" w:rsidRPr="002864D8" w:rsidRDefault="007A1230" w:rsidP="00D44603">
            <w:pPr>
              <w:spacing w:before="60"/>
              <w:rPr>
                <w:b/>
                <w:noProof/>
              </w:rPr>
            </w:pPr>
            <w:r w:rsidRPr="002864D8">
              <w:rPr>
                <w:b/>
                <w:noProof/>
              </w:rPr>
              <w:t>Netzwerkarchitektur</w:t>
            </w:r>
          </w:p>
        </w:tc>
      </w:tr>
      <w:tr w:rsidR="007A1230" w:rsidRPr="002864D8" w14:paraId="02D47CF9" w14:textId="77777777" w:rsidTr="00971276">
        <w:tc>
          <w:tcPr>
            <w:tcW w:w="2943" w:type="dxa"/>
          </w:tcPr>
          <w:p w14:paraId="754A4A03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Netzwerktreffen</w:t>
            </w:r>
          </w:p>
        </w:tc>
        <w:tc>
          <w:tcPr>
            <w:tcW w:w="6267" w:type="dxa"/>
          </w:tcPr>
          <w:p w14:paraId="3E064568" w14:textId="77777777" w:rsidR="007A1230" w:rsidRPr="002864D8" w:rsidRDefault="007A1230" w:rsidP="00D44603">
            <w:pPr>
              <w:numPr>
                <w:ilvl w:val="0"/>
                <w:numId w:val="6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Regelmäßige, gemeinsame Arbeitstagungen und Fortbildungen</w:t>
            </w:r>
          </w:p>
          <w:p w14:paraId="11A18B6A" w14:textId="77777777" w:rsidR="007A1230" w:rsidRPr="002864D8" w:rsidRDefault="007A1230" w:rsidP="00D44603">
            <w:pPr>
              <w:numPr>
                <w:ilvl w:val="0"/>
                <w:numId w:val="6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verbindliche Absprachen (z.B. im Hinblick auf Termine, Zuständigkeiten oder Arbeitsaufträge) un</w:t>
            </w:r>
            <w:r w:rsidR="00C91E82" w:rsidRPr="002864D8">
              <w:rPr>
                <w:noProof/>
              </w:rPr>
              <w:t>d strukturiertes Vorgehen (</w:t>
            </w:r>
            <w:r w:rsidRPr="002864D8">
              <w:rPr>
                <w:noProof/>
              </w:rPr>
              <w:t>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</w:t>
            </w:r>
          </w:p>
          <w:p w14:paraId="7D6E12CF" w14:textId="49DE004E" w:rsidR="007A1230" w:rsidRPr="002864D8" w:rsidRDefault="007A1230" w:rsidP="00D44603">
            <w:pPr>
              <w:spacing w:before="60" w:after="0"/>
              <w:ind w:left="215" w:hanging="215"/>
              <w:rPr>
                <w:noProof/>
                <w:color w:val="C00000"/>
              </w:rPr>
            </w:pPr>
            <w:r w:rsidRPr="002864D8">
              <w:rPr>
                <w:noProof/>
              </w:rPr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"Wie organisiert man </w:t>
            </w:r>
            <w:r w:rsidR="00AE15C8" w:rsidRPr="002864D8">
              <w:rPr>
                <w:noProof/>
                <w:color w:val="C00000"/>
              </w:rPr>
              <w:t xml:space="preserve">die </w:t>
            </w:r>
            <w:r w:rsidRPr="002864D8">
              <w:rPr>
                <w:noProof/>
                <w:color w:val="C00000"/>
              </w:rPr>
              <w:t>Netzwerk</w:t>
            </w:r>
            <w:r w:rsidR="00AE15C8" w:rsidRPr="002864D8">
              <w:rPr>
                <w:noProof/>
                <w:color w:val="C00000"/>
              </w:rPr>
              <w:t>arbeit</w:t>
            </w:r>
            <w:r w:rsidRPr="002864D8">
              <w:rPr>
                <w:noProof/>
                <w:color w:val="C00000"/>
              </w:rPr>
              <w:t>?"</w:t>
            </w:r>
            <w:r w:rsidRPr="002864D8">
              <w:rPr>
                <w:noProof/>
              </w:rPr>
              <w:t>)</w:t>
            </w:r>
          </w:p>
        </w:tc>
      </w:tr>
      <w:tr w:rsidR="007A1230" w:rsidRPr="002864D8" w14:paraId="16F3F324" w14:textId="77777777" w:rsidTr="00971276">
        <w:tc>
          <w:tcPr>
            <w:tcW w:w="2943" w:type="dxa"/>
          </w:tcPr>
          <w:p w14:paraId="2CCB13FB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Teilnehmende</w:t>
            </w:r>
          </w:p>
        </w:tc>
        <w:tc>
          <w:tcPr>
            <w:tcW w:w="6267" w:type="dxa"/>
          </w:tcPr>
          <w:p w14:paraId="05CA4E85" w14:textId="3FD8EDA1" w:rsidR="007A1230" w:rsidRPr="002864D8" w:rsidRDefault="007A1230" w:rsidP="00D44603">
            <w:pPr>
              <w:numPr>
                <w:ilvl w:val="0"/>
                <w:numId w:val="6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Soll mit wenigen engagierten Kolleg</w:t>
            </w:r>
            <w:r w:rsidR="00873697" w:rsidRPr="002864D8">
              <w:rPr>
                <w:noProof/>
              </w:rPr>
              <w:t>innen und Kolleg</w:t>
            </w:r>
            <w:r w:rsidRPr="002864D8">
              <w:rPr>
                <w:noProof/>
              </w:rPr>
              <w:t xml:space="preserve">en gestartet werden? (Prinzip der </w:t>
            </w:r>
            <w:r w:rsidR="00873697" w:rsidRPr="002864D8">
              <w:rPr>
                <w:noProof/>
              </w:rPr>
              <w:t>Freiwilligkeit)</w:t>
            </w:r>
          </w:p>
          <w:p w14:paraId="3D32EFA0" w14:textId="23A62AFD" w:rsidR="007A1230" w:rsidRPr="002864D8" w:rsidRDefault="007A1230" w:rsidP="00D44603">
            <w:pPr>
              <w:numPr>
                <w:ilvl w:val="0"/>
                <w:numId w:val="6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Ist es sinnvoll, eine homogene Zusammensetzung (z.B. n</w:t>
            </w:r>
            <w:r w:rsidR="00873697" w:rsidRPr="002864D8">
              <w:rPr>
                <w:noProof/>
              </w:rPr>
              <w:t>ach Schulform) anzustreben? (versus</w:t>
            </w:r>
            <w:r w:rsidRPr="002864D8">
              <w:rPr>
                <w:noProof/>
              </w:rPr>
              <w:t xml:space="preserve"> Nutzen von Unterschiedlichkeit!)</w:t>
            </w:r>
          </w:p>
          <w:p w14:paraId="661FA683" w14:textId="77777777" w:rsidR="007A1230" w:rsidRPr="002864D8" w:rsidRDefault="007A1230" w:rsidP="00D44603">
            <w:pPr>
              <w:numPr>
                <w:ilvl w:val="0"/>
                <w:numId w:val="6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Ist räumliche Nähe der Partnerschulen für die gemeinsame Arbeit wichtig oder vielleicht sogar</w:t>
            </w:r>
            <w:r w:rsidR="00C91E82" w:rsidRPr="002864D8">
              <w:rPr>
                <w:noProof/>
              </w:rPr>
              <w:t xml:space="preserve"> kontraproduktiv?</w:t>
            </w:r>
            <w:r w:rsidR="00C91E82" w:rsidRPr="002864D8">
              <w:rPr>
                <w:noProof/>
              </w:rPr>
              <w:br/>
              <w:t>(</w:t>
            </w:r>
            <w:r w:rsidRPr="002864D8">
              <w:rPr>
                <w:noProof/>
              </w:rPr>
              <w:t>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</w:t>
            </w:r>
          </w:p>
          <w:p w14:paraId="6743E42D" w14:textId="4AC2512A" w:rsidR="007A1230" w:rsidRPr="002864D8" w:rsidRDefault="007A1230" w:rsidP="00D44603">
            <w:pPr>
              <w:numPr>
                <w:ilvl w:val="0"/>
                <w:numId w:val="6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Wie kann Unterschiedlichkeit für das Netzwerk genutzt werden? (Integration unterschiedlicher Positionen, Funktionen</w:t>
            </w:r>
            <w:r w:rsidR="00CB5BB4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...)</w:t>
            </w:r>
          </w:p>
          <w:p w14:paraId="32958477" w14:textId="77777777" w:rsidR="007A1230" w:rsidRPr="002864D8" w:rsidRDefault="007A1230" w:rsidP="00D44603">
            <w:pPr>
              <w:numPr>
                <w:ilvl w:val="0"/>
                <w:numId w:val="6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Sollen Bedingungen für Eintritt und Austritt formuliert werden?</w:t>
            </w:r>
          </w:p>
          <w:p w14:paraId="2D079536" w14:textId="1CC18D97" w:rsidR="007A1230" w:rsidRPr="002864D8" w:rsidRDefault="007A1230" w:rsidP="00D44603">
            <w:p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"Wer soll i</w:t>
            </w:r>
            <w:r w:rsidR="00945759" w:rsidRPr="002864D8">
              <w:rPr>
                <w:noProof/>
                <w:color w:val="C00000"/>
              </w:rPr>
              <w:t>n</w:t>
            </w:r>
            <w:r w:rsidRPr="002864D8">
              <w:rPr>
                <w:noProof/>
                <w:color w:val="C00000"/>
              </w:rPr>
              <w:t xml:space="preserve"> Netzwerk</w:t>
            </w:r>
            <w:r w:rsidR="00945759" w:rsidRPr="002864D8">
              <w:rPr>
                <w:noProof/>
                <w:color w:val="C00000"/>
              </w:rPr>
              <w:t>en</w:t>
            </w:r>
            <w:r w:rsidRPr="002864D8">
              <w:rPr>
                <w:noProof/>
                <w:color w:val="C00000"/>
              </w:rPr>
              <w:t xml:space="preserve"> mitarbeiten?"</w:t>
            </w:r>
            <w:r w:rsidRPr="002864D8">
              <w:rPr>
                <w:noProof/>
              </w:rPr>
              <w:t>)</w:t>
            </w:r>
          </w:p>
        </w:tc>
      </w:tr>
      <w:tr w:rsidR="007A1230" w:rsidRPr="002864D8" w14:paraId="758F7225" w14:textId="77777777" w:rsidTr="00971276">
        <w:tc>
          <w:tcPr>
            <w:tcW w:w="2943" w:type="dxa"/>
          </w:tcPr>
          <w:p w14:paraId="27C35A3C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Rollengefüge, Enthierarchisierung</w:t>
            </w:r>
          </w:p>
        </w:tc>
        <w:tc>
          <w:tcPr>
            <w:tcW w:w="6267" w:type="dxa"/>
          </w:tcPr>
          <w:p w14:paraId="0C698572" w14:textId="77777777" w:rsidR="007A1230" w:rsidRPr="002864D8" w:rsidRDefault="007A1230" w:rsidP="00D44603">
            <w:pPr>
              <w:numPr>
                <w:ilvl w:val="0"/>
                <w:numId w:val="5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Soll die Schul</w:t>
            </w:r>
            <w:r w:rsidR="00C91E82" w:rsidRPr="002864D8">
              <w:rPr>
                <w:noProof/>
              </w:rPr>
              <w:t>leitung beteiligt werden? (</w:t>
            </w:r>
            <w:r w:rsidRPr="002864D8">
              <w:rPr>
                <w:noProof/>
              </w:rPr>
              <w:t>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</w:t>
            </w:r>
          </w:p>
          <w:p w14:paraId="47310B21" w14:textId="7DF8AF72" w:rsidR="007A1230" w:rsidRPr="002864D8" w:rsidRDefault="007A1230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"Welche Rolle hat die Schulleitung?"</w:t>
            </w:r>
            <w:r w:rsidRPr="002864D8">
              <w:rPr>
                <w:noProof/>
              </w:rPr>
              <w:t>)</w:t>
            </w:r>
          </w:p>
          <w:p w14:paraId="3F84CAFA" w14:textId="3AF5443E" w:rsidR="007A1230" w:rsidRPr="002864D8" w:rsidRDefault="00A51205" w:rsidP="00D44603">
            <w:pPr>
              <w:numPr>
                <w:ilvl w:val="0"/>
                <w:numId w:val="5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Sind relevante Funktionsträger</w:t>
            </w:r>
            <w:r w:rsidR="007A1230" w:rsidRPr="002864D8">
              <w:rPr>
                <w:noProof/>
              </w:rPr>
              <w:t xml:space="preserve">innen </w:t>
            </w:r>
            <w:r w:rsidRPr="002864D8">
              <w:rPr>
                <w:noProof/>
              </w:rPr>
              <w:t xml:space="preserve">und -träger </w:t>
            </w:r>
            <w:r w:rsidR="007A1230" w:rsidRPr="002864D8">
              <w:rPr>
                <w:noProof/>
              </w:rPr>
              <w:t>vertreten?</w:t>
            </w:r>
          </w:p>
          <w:p w14:paraId="646BB86D" w14:textId="2886DAE4" w:rsidR="007A1230" w:rsidRPr="002864D8" w:rsidRDefault="007A1230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"Wer soll </w:t>
            </w:r>
            <w:r w:rsidR="00945759" w:rsidRPr="002864D8">
              <w:rPr>
                <w:noProof/>
                <w:color w:val="C00000"/>
              </w:rPr>
              <w:t xml:space="preserve">in Netzwerken </w:t>
            </w:r>
            <w:r w:rsidRPr="002864D8">
              <w:rPr>
                <w:noProof/>
                <w:color w:val="C00000"/>
              </w:rPr>
              <w:t>mitarbeiten?"</w:t>
            </w:r>
            <w:r w:rsidRPr="002864D8">
              <w:rPr>
                <w:noProof/>
              </w:rPr>
              <w:t>)</w:t>
            </w:r>
          </w:p>
          <w:p w14:paraId="138F251C" w14:textId="77777777" w:rsidR="007A1230" w:rsidRPr="002864D8" w:rsidRDefault="007A1230" w:rsidP="00D44603">
            <w:pPr>
              <w:numPr>
                <w:ilvl w:val="0"/>
                <w:numId w:val="5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"Die in Netzwerken bewährte Entscheidungsform ist: Resonanz." (Bensmann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2018, S. 69)</w:t>
            </w:r>
          </w:p>
        </w:tc>
      </w:tr>
      <w:tr w:rsidR="007A1230" w:rsidRPr="002864D8" w14:paraId="6CD20088" w14:textId="77777777" w:rsidTr="00971276">
        <w:tc>
          <w:tcPr>
            <w:tcW w:w="2943" w:type="dxa"/>
          </w:tcPr>
          <w:p w14:paraId="1B1AE084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lastRenderedPageBreak/>
              <w:t>Kooperation (gestalten)</w:t>
            </w:r>
          </w:p>
        </w:tc>
        <w:tc>
          <w:tcPr>
            <w:tcW w:w="6267" w:type="dxa"/>
          </w:tcPr>
          <w:p w14:paraId="7123F128" w14:textId="497F8375" w:rsidR="007A1230" w:rsidRPr="002864D8" w:rsidRDefault="007A1230" w:rsidP="00D44603">
            <w:pPr>
              <w:numPr>
                <w:ilvl w:val="0"/>
                <w:numId w:val="5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Sollen gegenseitige Hospi</w:t>
            </w:r>
            <w:r w:rsidR="00C91E82" w:rsidRPr="002864D8">
              <w:rPr>
                <w:noProof/>
              </w:rPr>
              <w:t>tation</w:t>
            </w:r>
            <w:r w:rsidR="00D040F9" w:rsidRPr="002864D8">
              <w:rPr>
                <w:noProof/>
              </w:rPr>
              <w:t>en</w:t>
            </w:r>
            <w:r w:rsidR="00C91E82" w:rsidRPr="002864D8">
              <w:rPr>
                <w:noProof/>
              </w:rPr>
              <w:t xml:space="preserve"> eingeplant werden? (</w:t>
            </w:r>
            <w:r w:rsidRPr="002864D8">
              <w:rPr>
                <w:noProof/>
              </w:rPr>
              <w:t>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</w:t>
            </w:r>
          </w:p>
          <w:p w14:paraId="0AE77722" w14:textId="3F049792" w:rsidR="007A1230" w:rsidRPr="002864D8" w:rsidRDefault="007A1230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"Welchen Nutzen bringen gegenseitige Hospitationen?"</w:t>
            </w:r>
            <w:r w:rsidRPr="002864D8">
              <w:rPr>
                <w:noProof/>
              </w:rPr>
              <w:t>)</w:t>
            </w:r>
          </w:p>
        </w:tc>
      </w:tr>
      <w:tr w:rsidR="007A1230" w:rsidRPr="002864D8" w14:paraId="187894B7" w14:textId="77777777" w:rsidTr="00971276">
        <w:tc>
          <w:tcPr>
            <w:tcW w:w="2943" w:type="dxa"/>
          </w:tcPr>
          <w:p w14:paraId="4F6B4F8D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Führung, Moderation</w:t>
            </w:r>
          </w:p>
        </w:tc>
        <w:tc>
          <w:tcPr>
            <w:tcW w:w="6267" w:type="dxa"/>
          </w:tcPr>
          <w:p w14:paraId="62D7AEA9" w14:textId="77777777" w:rsidR="007A1230" w:rsidRPr="002864D8" w:rsidRDefault="007A1230" w:rsidP="00D44603">
            <w:pPr>
              <w:numPr>
                <w:ilvl w:val="0"/>
                <w:numId w:val="4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 xml:space="preserve">Soll eine Netzwerksteuergruppe eingerichtet werden? </w:t>
            </w:r>
          </w:p>
          <w:p w14:paraId="07546C74" w14:textId="77777777" w:rsidR="007A1230" w:rsidRPr="002864D8" w:rsidRDefault="007A1230" w:rsidP="00D44603">
            <w:pPr>
              <w:numPr>
                <w:ilvl w:val="0"/>
                <w:numId w:val="4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Soll eine Koordinationsstelle (z.B. durch Koordinator</w:t>
            </w:r>
            <w:r w:rsidR="00475E4F" w:rsidRPr="002864D8">
              <w:rPr>
                <w:noProof/>
              </w:rPr>
              <w:t xml:space="preserve"> bzw. Koordinatorin</w:t>
            </w:r>
            <w:r w:rsidRPr="002864D8">
              <w:rPr>
                <w:noProof/>
              </w:rPr>
              <w:t xml:space="preserve"> oder Koordinationssch</w:t>
            </w:r>
            <w:r w:rsidR="00C91E82" w:rsidRPr="002864D8">
              <w:rPr>
                <w:noProof/>
              </w:rPr>
              <w:t>ule) eingerichtet werden?</w:t>
            </w:r>
            <w:r w:rsidR="00C91E82" w:rsidRPr="002864D8">
              <w:rPr>
                <w:noProof/>
              </w:rPr>
              <w:br/>
              <w:t>(</w:t>
            </w:r>
            <w:r w:rsidRPr="002864D8">
              <w:rPr>
                <w:noProof/>
              </w:rPr>
              <w:t>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</w:t>
            </w:r>
          </w:p>
          <w:p w14:paraId="4CD15690" w14:textId="6A801379" w:rsidR="007A1230" w:rsidRPr="002864D8" w:rsidRDefault="007A1230" w:rsidP="00D44603">
            <w:pPr>
              <w:numPr>
                <w:ilvl w:val="0"/>
                <w:numId w:val="4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 xml:space="preserve">Soll </w:t>
            </w:r>
            <w:r w:rsidR="00475E4F" w:rsidRPr="002864D8">
              <w:rPr>
                <w:noProof/>
              </w:rPr>
              <w:t xml:space="preserve">eine Moderatorin oder </w:t>
            </w:r>
            <w:r w:rsidRPr="002864D8">
              <w:rPr>
                <w:noProof/>
              </w:rPr>
              <w:t xml:space="preserve">ein Moderator eingesetzt werden? Soll es externe </w:t>
            </w:r>
            <w:r w:rsidR="00475E4F" w:rsidRPr="002864D8">
              <w:rPr>
                <w:noProof/>
              </w:rPr>
              <w:t xml:space="preserve">Beratung </w:t>
            </w:r>
            <w:r w:rsidRPr="002864D8">
              <w:rPr>
                <w:noProof/>
              </w:rPr>
              <w:t>geben?</w:t>
            </w:r>
          </w:p>
          <w:p w14:paraId="15F2A38A" w14:textId="21F2C991" w:rsidR="007A1230" w:rsidRPr="002864D8" w:rsidRDefault="007A1230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"Brauchen Netzwerke eine Leitung?"</w:t>
            </w:r>
            <w:r w:rsidRPr="002864D8">
              <w:rPr>
                <w:noProof/>
              </w:rPr>
              <w:t>)</w:t>
            </w:r>
          </w:p>
        </w:tc>
      </w:tr>
      <w:tr w:rsidR="007A1230" w:rsidRPr="002864D8" w14:paraId="0C042018" w14:textId="77777777" w:rsidTr="00971276">
        <w:tc>
          <w:tcPr>
            <w:tcW w:w="2943" w:type="dxa"/>
          </w:tcPr>
          <w:p w14:paraId="64EDF111" w14:textId="1BB08C41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Ziele, Phasen, Meilensteinpla</w:t>
            </w:r>
            <w:r w:rsidR="00CB5BB4" w:rsidRPr="002864D8">
              <w:rPr>
                <w:noProof/>
              </w:rPr>
              <w:t>n</w:t>
            </w:r>
            <w:r w:rsidRPr="002864D8">
              <w:rPr>
                <w:noProof/>
              </w:rPr>
              <w:t>ung</w:t>
            </w:r>
          </w:p>
        </w:tc>
        <w:tc>
          <w:tcPr>
            <w:tcW w:w="6267" w:type="dxa"/>
          </w:tcPr>
          <w:p w14:paraId="1746090C" w14:textId="77777777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Verständigung über einen konkreten gemeinsamen Auftrag</w:t>
            </w:r>
          </w:p>
          <w:p w14:paraId="74D5CC1A" w14:textId="77777777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realistisches Arbeitsprogramm und regelmäßige Überp</w:t>
            </w:r>
            <w:r w:rsidR="00C91E82" w:rsidRPr="002864D8">
              <w:rPr>
                <w:noProof/>
              </w:rPr>
              <w:t>rüfung der Zielerreichung (</w:t>
            </w:r>
            <w:r w:rsidRPr="002864D8">
              <w:rPr>
                <w:noProof/>
              </w:rPr>
              <w:t>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36), ggf. Modifikation von Zielen oder Formulierung von neuen Zielen</w:t>
            </w:r>
          </w:p>
          <w:p w14:paraId="4903EADF" w14:textId="715E82C5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Für Netzwerkziele sind die SMART-Kriterien anwendbar. (Bensmann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2018, S. 52) </w:t>
            </w:r>
          </w:p>
          <w:p w14:paraId="3656365E" w14:textId="297010A4" w:rsidR="007A1230" w:rsidRPr="002864D8" w:rsidRDefault="007A1230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t>"Eine smart formulierte Zielvereinbarung schafft über den gesamten Prozess der Netzwerkarbeit Transparenz" und bildet so</w:t>
            </w:r>
            <w:r w:rsidR="00C91E82" w:rsidRPr="002864D8">
              <w:rPr>
                <w:noProof/>
              </w:rPr>
              <w:t xml:space="preserve">mit einen Erfolgsfaktor (Braune &amp; </w:t>
            </w:r>
            <w:r w:rsidRPr="002864D8">
              <w:rPr>
                <w:noProof/>
              </w:rPr>
              <w:t>Strotmann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2014, S. 36)</w:t>
            </w:r>
            <w:r w:rsidR="00CB5BB4" w:rsidRPr="002864D8">
              <w:rPr>
                <w:noProof/>
              </w:rPr>
              <w:t>.</w:t>
            </w:r>
          </w:p>
          <w:p w14:paraId="24708752" w14:textId="1A3EB232" w:rsidR="007A1230" w:rsidRPr="002864D8" w:rsidRDefault="007A1230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"Wie organisiert man </w:t>
            </w:r>
            <w:r w:rsidR="00945759" w:rsidRPr="002864D8">
              <w:rPr>
                <w:noProof/>
                <w:color w:val="C00000"/>
              </w:rPr>
              <w:t>die Netzwerkarbeit</w:t>
            </w:r>
            <w:r w:rsidRPr="002864D8">
              <w:rPr>
                <w:noProof/>
                <w:color w:val="C00000"/>
              </w:rPr>
              <w:t>?"</w:t>
            </w:r>
            <w:r w:rsidRPr="002864D8">
              <w:rPr>
                <w:noProof/>
              </w:rPr>
              <w:t>)</w:t>
            </w:r>
          </w:p>
        </w:tc>
      </w:tr>
      <w:tr w:rsidR="007A1230" w:rsidRPr="002864D8" w14:paraId="584AA488" w14:textId="77777777" w:rsidTr="00971276">
        <w:tc>
          <w:tcPr>
            <w:tcW w:w="2943" w:type="dxa"/>
          </w:tcPr>
          <w:p w14:paraId="15500141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Tausch (gestalten)</w:t>
            </w:r>
          </w:p>
        </w:tc>
        <w:tc>
          <w:tcPr>
            <w:tcW w:w="6267" w:type="dxa"/>
          </w:tcPr>
          <w:p w14:paraId="394CC77F" w14:textId="77777777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Herstellung eines Ausgleichs von Geben und Nehmen (Gottmann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</w:t>
            </w:r>
          </w:p>
          <w:p w14:paraId="518E2568" w14:textId="77777777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Was wird von den Teilnehmenden erwartet (Rolle)? (Bensmann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2018, S. 87)</w:t>
            </w:r>
          </w:p>
          <w:p w14:paraId="553DF18E" w14:textId="4B3B3074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Was kann ausgetauscht werden? (Produkte, Dienstleistungen, Ideen, Feedback, Impulse</w:t>
            </w:r>
            <w:r w:rsidR="00CB5BB4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...) (Bensmann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2018, S. 45 - 49)</w:t>
            </w:r>
          </w:p>
          <w:p w14:paraId="4468A835" w14:textId="0393C5ED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Wie sollen Arbeitsergebnisse dokumentiert und gesichert werden?</w:t>
            </w:r>
            <w:r w:rsidR="00CB5BB4" w:rsidRPr="002864D8">
              <w:rPr>
                <w:noProof/>
              </w:rPr>
              <w:t xml:space="preserve"> (</w:t>
            </w:r>
            <w:r w:rsidR="00CB5BB4" w:rsidRPr="002864D8">
              <w:rPr>
                <w:rFonts w:ascii="Wingdings" w:hAnsi="Wingdings"/>
                <w:noProof/>
                <w:color w:val="C00000"/>
              </w:rPr>
              <w:t></w:t>
            </w:r>
            <w:r w:rsidR="00CB5BB4" w:rsidRPr="002864D8">
              <w:rPr>
                <w:noProof/>
                <w:color w:val="C00000"/>
              </w:rPr>
              <w:t xml:space="preserve"> "Wie werden Arbeitsergebnisse dokumentiert und gesichert?"</w:t>
            </w:r>
            <w:r w:rsidR="00CB5BB4" w:rsidRPr="002864D8">
              <w:rPr>
                <w:noProof/>
              </w:rPr>
              <w:t>)</w:t>
            </w:r>
          </w:p>
          <w:p w14:paraId="7E09C800" w14:textId="41C4E7AF" w:rsidR="007A1230" w:rsidRPr="002864D8" w:rsidRDefault="00873697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"Wie organisiert man die Netzwerkarbeit?"</w:t>
            </w:r>
            <w:r w:rsidRPr="002864D8">
              <w:rPr>
                <w:noProof/>
              </w:rPr>
              <w:t>)</w:t>
            </w:r>
          </w:p>
        </w:tc>
      </w:tr>
      <w:tr w:rsidR="007A1230" w:rsidRPr="002864D8" w14:paraId="489F7392" w14:textId="77777777" w:rsidTr="00971276">
        <w:tc>
          <w:tcPr>
            <w:tcW w:w="2943" w:type="dxa"/>
          </w:tcPr>
          <w:p w14:paraId="4296CB0D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Unterschiedlichkeit</w:t>
            </w:r>
          </w:p>
        </w:tc>
        <w:tc>
          <w:tcPr>
            <w:tcW w:w="6267" w:type="dxa"/>
          </w:tcPr>
          <w:p w14:paraId="2DF87CCD" w14:textId="3F847FFE" w:rsidR="00F75A61" w:rsidRPr="002864D8" w:rsidRDefault="007A1230" w:rsidP="00D44603">
            <w:pPr>
              <w:pStyle w:val="Listenabsatz"/>
              <w:numPr>
                <w:ilvl w:val="0"/>
                <w:numId w:val="11"/>
              </w:numPr>
              <w:spacing w:before="60"/>
              <w:ind w:left="179" w:hanging="179"/>
              <w:rPr>
                <w:noProof/>
              </w:rPr>
            </w:pPr>
            <w:r w:rsidRPr="002864D8">
              <w:rPr>
                <w:noProof/>
              </w:rPr>
              <w:t>"Die Gestaltung von Unterschiedlichkeit in Netzwerken ist der Nährboden für den Erfolg</w:t>
            </w:r>
            <w:r w:rsidR="00873697" w:rsidRPr="002864D8">
              <w:rPr>
                <w:noProof/>
              </w:rPr>
              <w:t>.</w:t>
            </w:r>
            <w:r w:rsidRPr="002864D8">
              <w:rPr>
                <w:noProof/>
              </w:rPr>
              <w:t>" (Bensmann</w:t>
            </w:r>
            <w:r w:rsidR="00C91E82" w:rsidRPr="002864D8">
              <w:rPr>
                <w:noProof/>
              </w:rPr>
              <w:t>,</w:t>
            </w:r>
            <w:r w:rsidR="00F75A61" w:rsidRPr="002864D8">
              <w:rPr>
                <w:noProof/>
              </w:rPr>
              <w:t xml:space="preserve"> 2018, S. 52)</w:t>
            </w:r>
          </w:p>
          <w:p w14:paraId="30D89E76" w14:textId="77777777" w:rsidR="007A1230" w:rsidRPr="002864D8" w:rsidRDefault="007A1230" w:rsidP="00D44603">
            <w:pPr>
              <w:pStyle w:val="Listenabsatz"/>
              <w:numPr>
                <w:ilvl w:val="0"/>
                <w:numId w:val="11"/>
              </w:numPr>
              <w:spacing w:before="60"/>
              <w:ind w:left="179" w:hanging="179"/>
              <w:rPr>
                <w:noProof/>
              </w:rPr>
            </w:pPr>
            <w:r w:rsidRPr="002864D8">
              <w:rPr>
                <w:noProof/>
              </w:rPr>
              <w:t>Reflexion: Teamrollenmodell von Meredith Belbin (Bensmann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2018, S. 52ff)</w:t>
            </w:r>
            <w:r w:rsidRPr="002864D8">
              <w:rPr>
                <w:noProof/>
              </w:rPr>
              <w:br/>
              <w:t>Nach Belbin sind Teams besonders erfolgreich, wenn alle neun Rollen (nach dem Teamrollenmodell) besetzt sind.</w:t>
            </w:r>
          </w:p>
          <w:p w14:paraId="0143F47B" w14:textId="77777777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Sind alle relevanten Rollen im Netzwerk repräsentiert?</w:t>
            </w:r>
          </w:p>
          <w:p w14:paraId="2706BD78" w14:textId="5CFE83DF" w:rsidR="007A1230" w:rsidRPr="002864D8" w:rsidRDefault="00873697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lastRenderedPageBreak/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"Wer soll in Netzwerken mitarbeiten?"</w:t>
            </w:r>
            <w:r w:rsidRPr="002864D8">
              <w:rPr>
                <w:noProof/>
              </w:rPr>
              <w:t>)</w:t>
            </w:r>
          </w:p>
        </w:tc>
      </w:tr>
      <w:tr w:rsidR="007A1230" w:rsidRPr="002864D8" w14:paraId="34147FE3" w14:textId="77777777" w:rsidTr="00971276">
        <w:tc>
          <w:tcPr>
            <w:tcW w:w="2943" w:type="dxa"/>
          </w:tcPr>
          <w:p w14:paraId="28217840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lastRenderedPageBreak/>
              <w:t>Ressourcen</w:t>
            </w:r>
          </w:p>
        </w:tc>
        <w:tc>
          <w:tcPr>
            <w:tcW w:w="6267" w:type="dxa"/>
          </w:tcPr>
          <w:p w14:paraId="270F0711" w14:textId="0638027A" w:rsidR="007A1230" w:rsidRPr="002864D8" w:rsidRDefault="007A1230" w:rsidP="00D44603">
            <w:pPr>
              <w:numPr>
                <w:ilvl w:val="0"/>
                <w:numId w:val="8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 xml:space="preserve">Steht externe Unterstützung in Form von </w:t>
            </w:r>
            <w:r w:rsidR="00CE77D6" w:rsidRPr="002864D8">
              <w:rPr>
                <w:noProof/>
              </w:rPr>
              <w:t>beispielsweise</w:t>
            </w:r>
            <w:r w:rsidRPr="002864D8">
              <w:rPr>
                <w:noProof/>
              </w:rPr>
              <w:t xml:space="preserve"> Finanzmitteln oder inhaltli</w:t>
            </w:r>
            <w:r w:rsidR="00873697" w:rsidRPr="002864D8">
              <w:rPr>
                <w:noProof/>
              </w:rPr>
              <w:t>chem Input zur Verfügung?</w:t>
            </w:r>
          </w:p>
          <w:p w14:paraId="068EEC86" w14:textId="77777777" w:rsidR="007A1230" w:rsidRPr="002864D8" w:rsidRDefault="007A1230" w:rsidP="00D44603">
            <w:pPr>
              <w:numPr>
                <w:ilvl w:val="0"/>
                <w:numId w:val="8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Wie können die beteiligten Schulaufsichten eingebunden werden?</w:t>
            </w:r>
            <w:r w:rsidRPr="002864D8">
              <w:rPr>
                <w:noProof/>
              </w:rPr>
              <w:br/>
              <w:t>(Gottmann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</w:t>
            </w:r>
          </w:p>
        </w:tc>
      </w:tr>
      <w:tr w:rsidR="007A1230" w:rsidRPr="002864D8" w14:paraId="33AC4483" w14:textId="77777777" w:rsidTr="00971276">
        <w:tc>
          <w:tcPr>
            <w:tcW w:w="9210" w:type="dxa"/>
            <w:gridSpan w:val="2"/>
            <w:shd w:val="clear" w:color="auto" w:fill="BFBFBF"/>
          </w:tcPr>
          <w:p w14:paraId="117AEB94" w14:textId="77777777" w:rsidR="007A1230" w:rsidRPr="002864D8" w:rsidRDefault="007A1230" w:rsidP="00D44603">
            <w:pPr>
              <w:spacing w:before="60"/>
              <w:rPr>
                <w:b/>
                <w:noProof/>
              </w:rPr>
            </w:pPr>
            <w:r w:rsidRPr="002864D8">
              <w:rPr>
                <w:b/>
                <w:noProof/>
              </w:rPr>
              <w:t>Netzwerkkultur</w:t>
            </w:r>
          </w:p>
        </w:tc>
      </w:tr>
      <w:tr w:rsidR="007A1230" w:rsidRPr="002864D8" w14:paraId="01D2C886" w14:textId="77777777" w:rsidTr="00971276">
        <w:tc>
          <w:tcPr>
            <w:tcW w:w="2943" w:type="dxa"/>
          </w:tcPr>
          <w:p w14:paraId="72CD34D2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Vertrauen, Fehlerfreundlichkeit, Spaß</w:t>
            </w:r>
          </w:p>
        </w:tc>
        <w:tc>
          <w:tcPr>
            <w:tcW w:w="6267" w:type="dxa"/>
          </w:tcPr>
          <w:p w14:paraId="45705752" w14:textId="571CCF04" w:rsidR="007A1230" w:rsidRPr="002864D8" w:rsidRDefault="007A1230" w:rsidP="00D44603">
            <w:pPr>
              <w:pStyle w:val="Listenabsatz"/>
              <w:numPr>
                <w:ilvl w:val="0"/>
                <w:numId w:val="10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Wie kann es gelingen</w:t>
            </w:r>
            <w:r w:rsidR="00CB5BB4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eine produktive, vertrauensvolle Atmosphäre zu etablieren?</w:t>
            </w:r>
            <w:r w:rsidRPr="002864D8">
              <w:rPr>
                <w:noProof/>
              </w:rPr>
              <w:br/>
              <w:t>Ist dafür eine Moderation notwendig?</w:t>
            </w:r>
            <w:r w:rsidRPr="002864D8">
              <w:rPr>
                <w:noProof/>
              </w:rPr>
              <w:br/>
              <w:t>(</w:t>
            </w:r>
            <w:r w:rsidR="00C91E82" w:rsidRPr="002864D8">
              <w:rPr>
                <w:noProof/>
              </w:rPr>
              <w:t xml:space="preserve">Doth &amp; </w:t>
            </w:r>
            <w:r w:rsidRPr="002864D8">
              <w:rPr>
                <w:noProof/>
              </w:rPr>
              <w:t>Koch-Wittmann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2014, S. 43f)</w:t>
            </w:r>
          </w:p>
        </w:tc>
      </w:tr>
      <w:tr w:rsidR="007A1230" w:rsidRPr="002864D8" w14:paraId="62452E83" w14:textId="77777777" w:rsidTr="00971276">
        <w:tc>
          <w:tcPr>
            <w:tcW w:w="2943" w:type="dxa"/>
          </w:tcPr>
          <w:p w14:paraId="0E636718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Kooperation (Haltung), Feedback</w:t>
            </w:r>
          </w:p>
        </w:tc>
        <w:tc>
          <w:tcPr>
            <w:tcW w:w="6267" w:type="dxa"/>
          </w:tcPr>
          <w:p w14:paraId="1676AFDB" w14:textId="4B452232" w:rsidR="007A1230" w:rsidRPr="002864D8" w:rsidRDefault="007A1230" w:rsidP="00D44603">
            <w:pPr>
              <w:numPr>
                <w:ilvl w:val="0"/>
                <w:numId w:val="2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neugierig sein, sich positionieren, aufmerksam wahrnehmen, zuhören, teilnehmen, Teil von Entwicklu</w:t>
            </w:r>
            <w:r w:rsidR="00812F66" w:rsidRPr="002864D8">
              <w:rPr>
                <w:noProof/>
              </w:rPr>
              <w:t>ngen sein;</w:t>
            </w:r>
            <w:r w:rsidR="00812F66" w:rsidRPr="002864D8">
              <w:rPr>
                <w:noProof/>
              </w:rPr>
              <w:br/>
              <w:t>offen sein für Neues und dafür,</w:t>
            </w:r>
            <w:r w:rsidRPr="002864D8">
              <w:rPr>
                <w:noProof/>
              </w:rPr>
              <w:t xml:space="preserve"> die Ideen und Anregungen von anderen auf sich und </w:t>
            </w:r>
            <w:r w:rsidR="00A51205" w:rsidRPr="002864D8">
              <w:rPr>
                <w:noProof/>
              </w:rPr>
              <w:t xml:space="preserve">auf </w:t>
            </w:r>
            <w:r w:rsidRPr="002864D8">
              <w:rPr>
                <w:noProof/>
              </w:rPr>
              <w:t>die eigenen Wahrnehmungen und Entscheidungen wirken zu lassen (Bensmann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2018, S. 87).</w:t>
            </w:r>
          </w:p>
        </w:tc>
      </w:tr>
      <w:tr w:rsidR="007A1230" w:rsidRPr="002864D8" w14:paraId="0BEE3946" w14:textId="77777777" w:rsidTr="00971276">
        <w:tc>
          <w:tcPr>
            <w:tcW w:w="2943" w:type="dxa"/>
          </w:tcPr>
          <w:p w14:paraId="13163C26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Tausch (Bereitschaft zum Geben und Nehmen), Anreizsysteme</w:t>
            </w:r>
          </w:p>
        </w:tc>
        <w:tc>
          <w:tcPr>
            <w:tcW w:w="6267" w:type="dxa"/>
          </w:tcPr>
          <w:p w14:paraId="570E2823" w14:textId="77777777" w:rsidR="007A1230" w:rsidRPr="002864D8" w:rsidRDefault="007A1230" w:rsidP="00D44603">
            <w:pPr>
              <w:numPr>
                <w:ilvl w:val="0"/>
                <w:numId w:val="1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komplex reziproke Tausch- und Verständigungsprozesse</w:t>
            </w:r>
          </w:p>
          <w:p w14:paraId="5526B89B" w14:textId="77777777" w:rsidR="007A1230" w:rsidRPr="002864D8" w:rsidRDefault="007A1230" w:rsidP="00D44603">
            <w:pPr>
              <w:numPr>
                <w:ilvl w:val="0"/>
                <w:numId w:val="1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gemeinsame Werte wie Teilhabe, Eigeninitiative und Selbstverantwortlichkeit</w:t>
            </w:r>
            <w:r w:rsidRPr="002864D8">
              <w:rPr>
                <w:noProof/>
              </w:rPr>
              <w:br/>
            </w:r>
            <w:r w:rsidR="00C91E82" w:rsidRPr="002864D8">
              <w:rPr>
                <w:noProof/>
              </w:rPr>
              <w:t>(</w:t>
            </w:r>
            <w:r w:rsidRPr="002864D8">
              <w:rPr>
                <w:noProof/>
              </w:rPr>
              <w:t>Bensmann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2018, S. 87)</w:t>
            </w:r>
          </w:p>
          <w:p w14:paraId="4984EFBE" w14:textId="77777777" w:rsidR="007A1230" w:rsidRPr="002864D8" w:rsidRDefault="007A1230" w:rsidP="00D44603">
            <w:pPr>
              <w:numPr>
                <w:ilvl w:val="0"/>
                <w:numId w:val="1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Welche (subjektiven) Antriebe haben Teilnehmende für die Netzwerkarbeit?</w:t>
            </w:r>
          </w:p>
        </w:tc>
      </w:tr>
      <w:tr w:rsidR="007A1230" w:rsidRPr="002864D8" w14:paraId="45D707B2" w14:textId="77777777" w:rsidTr="00971276">
        <w:tc>
          <w:tcPr>
            <w:tcW w:w="2943" w:type="dxa"/>
          </w:tcPr>
          <w:p w14:paraId="4D17DF76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Unterschiedlichkeit (wertschätzen)</w:t>
            </w:r>
          </w:p>
        </w:tc>
        <w:tc>
          <w:tcPr>
            <w:tcW w:w="6267" w:type="dxa"/>
          </w:tcPr>
          <w:p w14:paraId="27E49214" w14:textId="056EC3AC" w:rsidR="007A1230" w:rsidRPr="002864D8" w:rsidRDefault="007A1230" w:rsidP="00D44603">
            <w:pPr>
              <w:pStyle w:val="Listenabsatz"/>
              <w:numPr>
                <w:ilvl w:val="0"/>
                <w:numId w:val="12"/>
              </w:numPr>
              <w:spacing w:before="60" w:after="0"/>
              <w:ind w:left="179" w:hanging="179"/>
              <w:rPr>
                <w:noProof/>
              </w:rPr>
            </w:pPr>
            <w:r w:rsidRPr="002864D8">
              <w:rPr>
                <w:noProof/>
              </w:rPr>
              <w:t>Jede Rolle (im Teamrollenmodell nach Belbin) ist mit Stärken und Schwächen v</w:t>
            </w:r>
            <w:r w:rsidR="00812F66" w:rsidRPr="002864D8">
              <w:rPr>
                <w:noProof/>
              </w:rPr>
              <w:t xml:space="preserve">erbunden. Die Stärken sollen </w:t>
            </w:r>
            <w:r w:rsidRPr="002864D8">
              <w:rPr>
                <w:noProof/>
              </w:rPr>
              <w:t>genutzt werden. Die Schwächen sind zu reflektieren.</w:t>
            </w:r>
          </w:p>
          <w:p w14:paraId="06C4C570" w14:textId="77777777" w:rsidR="007A1230" w:rsidRPr="002864D8" w:rsidRDefault="007A1230" w:rsidP="00D44603">
            <w:pPr>
              <w:pStyle w:val="Listenabsatz"/>
              <w:numPr>
                <w:ilvl w:val="0"/>
                <w:numId w:val="12"/>
              </w:numPr>
              <w:spacing w:before="60" w:after="0"/>
              <w:ind w:left="179" w:hanging="179"/>
              <w:rPr>
                <w:noProof/>
              </w:rPr>
            </w:pPr>
            <w:r w:rsidRPr="002864D8">
              <w:rPr>
                <w:noProof/>
              </w:rPr>
              <w:t>Die Anerkennung von Schwächen trägt zur Vertrauensbildung bei.</w:t>
            </w:r>
          </w:p>
        </w:tc>
      </w:tr>
      <w:tr w:rsidR="007A1230" w:rsidRPr="002864D8" w14:paraId="6A80E8B7" w14:textId="77777777" w:rsidTr="00971276">
        <w:tc>
          <w:tcPr>
            <w:tcW w:w="2943" w:type="dxa"/>
          </w:tcPr>
          <w:p w14:paraId="654EFF5E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Zielorientierung</w:t>
            </w:r>
          </w:p>
        </w:tc>
        <w:tc>
          <w:tcPr>
            <w:tcW w:w="6267" w:type="dxa"/>
          </w:tcPr>
          <w:p w14:paraId="22A7B2D6" w14:textId="027C564F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Verständigung über einen konkreten gemeinsamen Auftrag</w:t>
            </w:r>
          </w:p>
          <w:p w14:paraId="16846E9F" w14:textId="77777777" w:rsidR="007A1230" w:rsidRPr="002864D8" w:rsidRDefault="007A1230" w:rsidP="00D44603">
            <w:pPr>
              <w:numPr>
                <w:ilvl w:val="0"/>
                <w:numId w:val="3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realistisches Arbeitsprogramm und regelmäßige Überprüfung der Zielerreichung (Gottmann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</w:t>
            </w:r>
          </w:p>
          <w:p w14:paraId="71948A0C" w14:textId="690593A4" w:rsidR="007A1230" w:rsidRPr="002864D8" w:rsidRDefault="007A1230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t>(</w:t>
            </w:r>
            <w:r w:rsidRPr="002864D8">
              <w:rPr>
                <w:rFonts w:ascii="Wingdings" w:hAnsi="Wingdings"/>
                <w:noProof/>
                <w:color w:val="C00000"/>
              </w:rPr>
              <w:t></w:t>
            </w:r>
            <w:r w:rsidRPr="002864D8">
              <w:rPr>
                <w:noProof/>
                <w:color w:val="C00000"/>
              </w:rPr>
              <w:t xml:space="preserve"> "Wie und wann sollte</w:t>
            </w:r>
            <w:r w:rsidR="00945759" w:rsidRPr="002864D8">
              <w:rPr>
                <w:noProof/>
                <w:color w:val="C00000"/>
              </w:rPr>
              <w:t xml:space="preserve"> eine</w:t>
            </w:r>
            <w:r w:rsidRPr="002864D8">
              <w:rPr>
                <w:noProof/>
                <w:color w:val="C00000"/>
              </w:rPr>
              <w:t xml:space="preserve"> Evaluation eingeplant werden?"</w:t>
            </w:r>
            <w:r w:rsidRPr="002864D8">
              <w:rPr>
                <w:noProof/>
              </w:rPr>
              <w:t>)</w:t>
            </w:r>
          </w:p>
        </w:tc>
      </w:tr>
      <w:tr w:rsidR="007A1230" w:rsidRPr="002864D8" w14:paraId="592EC856" w14:textId="77777777" w:rsidTr="00971276">
        <w:tc>
          <w:tcPr>
            <w:tcW w:w="921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6E6CA625" w14:textId="77777777" w:rsidR="007A1230" w:rsidRPr="002864D8" w:rsidRDefault="007A1230" w:rsidP="00D44603">
            <w:pPr>
              <w:spacing w:before="60"/>
              <w:rPr>
                <w:b/>
                <w:noProof/>
              </w:rPr>
            </w:pPr>
            <w:r w:rsidRPr="002864D8">
              <w:rPr>
                <w:b/>
                <w:noProof/>
              </w:rPr>
              <w:t>Netzwerkmanagement/Moderation</w:t>
            </w:r>
          </w:p>
        </w:tc>
      </w:tr>
      <w:tr w:rsidR="007A1230" w:rsidRPr="002864D8" w14:paraId="786C0AA7" w14:textId="77777777" w:rsidTr="00971276"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72C85E7C" w14:textId="2B0FC1B4" w:rsidR="007A1230" w:rsidRPr="002864D8" w:rsidRDefault="007A1230" w:rsidP="00D44603">
            <w:pPr>
              <w:spacing w:before="60" w:after="0"/>
              <w:rPr>
                <w:noProof/>
              </w:rPr>
            </w:pPr>
            <w:r w:rsidRPr="002864D8">
              <w:rPr>
                <w:noProof/>
              </w:rPr>
              <w:t>Erfolgreiche Netzwerkmanager</w:t>
            </w:r>
            <w:r w:rsidR="00812F66" w:rsidRPr="002864D8">
              <w:rPr>
                <w:noProof/>
              </w:rPr>
              <w:t xml:space="preserve"> und -</w:t>
            </w:r>
            <w:r w:rsidR="00F75A61" w:rsidRPr="002864D8">
              <w:rPr>
                <w:noProof/>
              </w:rPr>
              <w:t>managerinnen</w:t>
            </w:r>
            <w:r w:rsidRPr="002864D8">
              <w:rPr>
                <w:noProof/>
              </w:rPr>
              <w:t xml:space="preserve"> "können</w:t>
            </w:r>
          </w:p>
          <w:p w14:paraId="0BDDB3AF" w14:textId="77777777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Wohlbefinden in Gruppen bewirken,</w:t>
            </w:r>
          </w:p>
          <w:p w14:paraId="53430522" w14:textId="77777777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Veranstaltungen mitwirkungsorientiert gestalten,</w:t>
            </w:r>
          </w:p>
          <w:p w14:paraId="4D28CAE8" w14:textId="77777777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Gruppen ereignisorientiert moderieren, auch Großgruppen,</w:t>
            </w:r>
          </w:p>
          <w:p w14:paraId="30FD1327" w14:textId="77777777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lastRenderedPageBreak/>
              <w:t>über den eigenen Tellerrand hinausschauen,</w:t>
            </w:r>
          </w:p>
          <w:p w14:paraId="77D49615" w14:textId="77777777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Budgets steuern,</w:t>
            </w:r>
          </w:p>
          <w:p w14:paraId="318E9871" w14:textId="77777777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Bedarfe für Strukturen wahrnehmen,</w:t>
            </w:r>
          </w:p>
          <w:p w14:paraId="467B07C8" w14:textId="77777777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Feedback geben - einzeln und in Gruppensituationen,</w:t>
            </w:r>
          </w:p>
          <w:p w14:paraId="78E67099" w14:textId="77777777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Verständigungsprozesse ergebnisorientiert unterstützen"</w:t>
            </w:r>
            <w:r w:rsidR="00514636" w:rsidRPr="002864D8">
              <w:rPr>
                <w:noProof/>
              </w:rPr>
              <w:t xml:space="preserve"> (Bensmann 2018</w:t>
            </w:r>
            <w:r w:rsidRPr="002864D8">
              <w:rPr>
                <w:noProof/>
              </w:rPr>
              <w:t>,</w:t>
            </w:r>
            <w:r w:rsidR="00514636" w:rsidRPr="002864D8">
              <w:rPr>
                <w:noProof/>
              </w:rPr>
              <w:t xml:space="preserve"> S.100),</w:t>
            </w:r>
          </w:p>
          <w:p w14:paraId="3B7AA1D5" w14:textId="02912144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 xml:space="preserve">die Eigeninitiative und Eigenverantwortlichkeit des Netzwerks stärken und </w:t>
            </w:r>
            <w:r w:rsidR="00F75A61" w:rsidRPr="002864D8">
              <w:rPr>
                <w:noProof/>
              </w:rPr>
              <w:t xml:space="preserve">so </w:t>
            </w:r>
            <w:r w:rsidRPr="002864D8">
              <w:rPr>
                <w:noProof/>
              </w:rPr>
              <w:t>die Innovationsfähigkeit des Netzwerks</w:t>
            </w:r>
            <w:r w:rsidR="00F75A61" w:rsidRPr="002864D8">
              <w:rPr>
                <w:noProof/>
              </w:rPr>
              <w:t xml:space="preserve"> fördern</w:t>
            </w:r>
            <w:r w:rsidRPr="002864D8">
              <w:rPr>
                <w:noProof/>
              </w:rPr>
              <w:t>,</w:t>
            </w:r>
          </w:p>
          <w:p w14:paraId="6A9F32C8" w14:textId="573BEFE8" w:rsidR="007A1230" w:rsidRPr="002864D8" w:rsidRDefault="007A1230" w:rsidP="00D44603">
            <w:pPr>
              <w:numPr>
                <w:ilvl w:val="0"/>
                <w:numId w:val="9"/>
              </w:numPr>
              <w:spacing w:before="60" w:after="0"/>
              <w:ind w:left="215" w:hanging="215"/>
              <w:rPr>
                <w:noProof/>
              </w:rPr>
            </w:pPr>
            <w:r w:rsidRPr="002864D8">
              <w:rPr>
                <w:noProof/>
              </w:rPr>
              <w:t>die Herausforderungen der verschiedenen Netzwerkphasen (Gründung, Kick-off, Zielformulierung, Entwicklung, Revitalisierung, Abschluss) durch die Auswahl geeign</w:t>
            </w:r>
            <w:r w:rsidR="00CB5BB4" w:rsidRPr="002864D8">
              <w:rPr>
                <w:noProof/>
              </w:rPr>
              <w:t>eter Methoden bewältigen.</w:t>
            </w:r>
            <w:r w:rsidRPr="002864D8">
              <w:rPr>
                <w:noProof/>
              </w:rPr>
              <w:br/>
              <w:t>(Bensmann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2018, S. 99 - 116)</w:t>
            </w:r>
            <w:r w:rsidR="00F75A61" w:rsidRPr="002864D8">
              <w:rPr>
                <w:noProof/>
              </w:rPr>
              <w:t xml:space="preserve"> </w:t>
            </w:r>
          </w:p>
        </w:tc>
      </w:tr>
      <w:tr w:rsidR="007A1230" w:rsidRPr="002864D8" w14:paraId="63C4BCFF" w14:textId="77777777" w:rsidTr="00971276">
        <w:tc>
          <w:tcPr>
            <w:tcW w:w="9210" w:type="dxa"/>
            <w:gridSpan w:val="2"/>
            <w:shd w:val="clear" w:color="auto" w:fill="BFBFBF"/>
          </w:tcPr>
          <w:p w14:paraId="63E1AD5D" w14:textId="77777777" w:rsidR="007A1230" w:rsidRPr="002864D8" w:rsidRDefault="007A1230" w:rsidP="00D44603">
            <w:pPr>
              <w:spacing w:before="60"/>
              <w:rPr>
                <w:b/>
                <w:noProof/>
              </w:rPr>
            </w:pPr>
            <w:r w:rsidRPr="002864D8">
              <w:rPr>
                <w:b/>
                <w:noProof/>
              </w:rPr>
              <w:lastRenderedPageBreak/>
              <w:t>Gelingensbedingungen auf Schulebene</w:t>
            </w:r>
          </w:p>
        </w:tc>
      </w:tr>
      <w:tr w:rsidR="007A1230" w:rsidRPr="002864D8" w14:paraId="523C3D4D" w14:textId="77777777" w:rsidTr="00971276">
        <w:tc>
          <w:tcPr>
            <w:tcW w:w="9210" w:type="dxa"/>
            <w:gridSpan w:val="2"/>
          </w:tcPr>
          <w:p w14:paraId="0D937847" w14:textId="77777777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Verknüpfung des Netzwerkthemas mit der schulinternen Arbeitsplanung</w:t>
            </w:r>
          </w:p>
          <w:p w14:paraId="6D79F603" w14:textId="77777777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Abgleichung von Zielvorstellungen</w:t>
            </w:r>
          </w:p>
          <w:p w14:paraId="7ADFB018" w14:textId="77777777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Rückkoppelung von Informationen ins Kollegium</w:t>
            </w:r>
          </w:p>
          <w:p w14:paraId="72739535" w14:textId="77777777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Einrichtung/Nutzung einer Steuergruppe oder themenspezifischer Arbeitsgruppen</w:t>
            </w:r>
          </w:p>
          <w:p w14:paraId="57300245" w14:textId="14B5D50B" w:rsidR="007A1230" w:rsidRPr="002864D8" w:rsidRDefault="00F75A61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i</w:t>
            </w:r>
            <w:r w:rsidR="007A1230" w:rsidRPr="002864D8">
              <w:rPr>
                <w:noProof/>
              </w:rPr>
              <w:t>nitiierende bzw. unterstützend wirkende Schulleitung</w:t>
            </w:r>
          </w:p>
          <w:p w14:paraId="67D4002F" w14:textId="77777777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 xml:space="preserve">Mitnahme wechselnder </w:t>
            </w:r>
            <w:r w:rsidR="00F75A61" w:rsidRPr="002864D8">
              <w:rPr>
                <w:noProof/>
              </w:rPr>
              <w:t xml:space="preserve">Kolleginnen und </w:t>
            </w:r>
            <w:r w:rsidRPr="002864D8">
              <w:rPr>
                <w:noProof/>
              </w:rPr>
              <w:t>Kollegen zu schulübergreifenden Themen</w:t>
            </w:r>
          </w:p>
          <w:p w14:paraId="4B17F339" w14:textId="77777777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in regelmäßigen Abständen ein Highlight setzen, das mit der Netzwerkarbeit zu tun hat (z.B. schulinterne oder schulübergreifende Fortbildung)</w:t>
            </w:r>
          </w:p>
          <w:p w14:paraId="70DABDFA" w14:textId="77777777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gut entwickelte Kommunikations- und Kooperationsstrukturen</w:t>
            </w:r>
          </w:p>
          <w:p w14:paraId="12B70BB8" w14:textId="29C40150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breite und aktive Partizipation aller am Schulleben beteiligten Gruppen (</w:t>
            </w:r>
            <w:r w:rsidR="00812F66" w:rsidRPr="002864D8">
              <w:rPr>
                <w:noProof/>
              </w:rPr>
              <w:t xml:space="preserve">z.B. </w:t>
            </w:r>
            <w:r w:rsidRPr="002864D8">
              <w:rPr>
                <w:noProof/>
              </w:rPr>
              <w:t>Lehrkräfte, Schüler- und Elternschaft, weiteres pädagogisches Personal)</w:t>
            </w:r>
          </w:p>
          <w:p w14:paraId="13495AE7" w14:textId="77777777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positive Einstellung der beteiligten Gruppen zum Projekt</w:t>
            </w:r>
          </w:p>
          <w:p w14:paraId="00310738" w14:textId="77777777" w:rsidR="007A1230" w:rsidRPr="002864D8" w:rsidRDefault="007A1230" w:rsidP="00D44603">
            <w:pPr>
              <w:numPr>
                <w:ilvl w:val="0"/>
                <w:numId w:val="7"/>
              </w:numPr>
              <w:spacing w:before="60" w:after="0"/>
              <w:ind w:left="284" w:hanging="284"/>
              <w:rPr>
                <w:noProof/>
              </w:rPr>
            </w:pPr>
            <w:r w:rsidRPr="002864D8">
              <w:rPr>
                <w:noProof/>
              </w:rPr>
              <w:t>hohe Innovationsbereitschaft der beteiligten Gruppen, insbesondere der Lehrkräfte</w:t>
            </w:r>
          </w:p>
          <w:p w14:paraId="73EEA4C4" w14:textId="77777777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>(Gottmann</w:t>
            </w:r>
            <w:r w:rsidR="00C91E82" w:rsidRPr="002864D8">
              <w:rPr>
                <w:noProof/>
              </w:rPr>
              <w:t>,</w:t>
            </w:r>
            <w:r w:rsidRPr="002864D8">
              <w:rPr>
                <w:noProof/>
              </w:rPr>
              <w:t xml:space="preserve"> 2009, S. 36)</w:t>
            </w:r>
          </w:p>
          <w:p w14:paraId="2533E09A" w14:textId="4B656FE2" w:rsidR="007A1230" w:rsidRPr="002864D8" w:rsidRDefault="007A1230" w:rsidP="00D44603">
            <w:pPr>
              <w:spacing w:before="60"/>
              <w:rPr>
                <w:noProof/>
              </w:rPr>
            </w:pPr>
            <w:r w:rsidRPr="002864D8">
              <w:rPr>
                <w:noProof/>
              </w:rPr>
              <w:t xml:space="preserve">Für eine nachhaltige Implementation von Projektergebnissen </w:t>
            </w:r>
            <w:r w:rsidR="00461775" w:rsidRPr="002864D8">
              <w:rPr>
                <w:noProof/>
              </w:rPr>
              <w:t xml:space="preserve">können </w:t>
            </w:r>
            <w:r w:rsidRPr="002864D8">
              <w:rPr>
                <w:noProof/>
              </w:rPr>
              <w:t xml:space="preserve">zudem eine regelmäßige Evaluation der Relevanz und der Erreichung der Projektziele </w:t>
            </w:r>
            <w:r w:rsidR="00873697" w:rsidRPr="002864D8">
              <w:rPr>
                <w:noProof/>
              </w:rPr>
              <w:t>(</w:t>
            </w:r>
            <w:r w:rsidR="00873697" w:rsidRPr="002864D8">
              <w:rPr>
                <w:rFonts w:ascii="Wingdings" w:hAnsi="Wingdings"/>
                <w:noProof/>
                <w:color w:val="C00000"/>
              </w:rPr>
              <w:t></w:t>
            </w:r>
            <w:r w:rsidR="00873697" w:rsidRPr="002864D8">
              <w:rPr>
                <w:noProof/>
                <w:color w:val="C00000"/>
              </w:rPr>
              <w:t xml:space="preserve"> "Wie und wann sollte eine Evaluation eingeplant werden?"</w:t>
            </w:r>
            <w:r w:rsidR="00873697" w:rsidRPr="002864D8">
              <w:rPr>
                <w:noProof/>
              </w:rPr>
              <w:t xml:space="preserve">) </w:t>
            </w:r>
            <w:r w:rsidRPr="002864D8">
              <w:rPr>
                <w:noProof/>
              </w:rPr>
              <w:t xml:space="preserve">sowie die Herstellung von Öffentlichkeit für das Erreichte </w:t>
            </w:r>
            <w:r w:rsidR="00CB5BB4" w:rsidRPr="002864D8">
              <w:rPr>
                <w:noProof/>
              </w:rPr>
              <w:t>(Schulprogramm, Webauftritt, …</w:t>
            </w:r>
            <w:r w:rsidRPr="002864D8">
              <w:rPr>
                <w:noProof/>
              </w:rPr>
              <w:t>)</w:t>
            </w:r>
            <w:r w:rsidR="00461775" w:rsidRPr="002864D8">
              <w:rPr>
                <w:noProof/>
              </w:rPr>
              <w:t xml:space="preserve"> hilfreich sein.</w:t>
            </w:r>
          </w:p>
        </w:tc>
      </w:tr>
    </w:tbl>
    <w:p w14:paraId="6C088624" w14:textId="77777777" w:rsidR="007A1230" w:rsidRPr="002864D8" w:rsidRDefault="007A1230" w:rsidP="00D44603">
      <w:pPr>
        <w:spacing w:before="60" w:after="0"/>
        <w:jc w:val="both"/>
        <w:rPr>
          <w:noProof/>
          <w:sz w:val="24"/>
          <w:szCs w:val="24"/>
        </w:rPr>
      </w:pPr>
    </w:p>
    <w:p w14:paraId="2CABDEC9" w14:textId="77777777" w:rsidR="00193C89" w:rsidRPr="002864D8" w:rsidRDefault="00193C89" w:rsidP="00D44603">
      <w:pPr>
        <w:spacing w:before="60" w:after="0"/>
        <w:jc w:val="both"/>
        <w:rPr>
          <w:b/>
          <w:noProof/>
          <w:sz w:val="24"/>
          <w:szCs w:val="24"/>
        </w:rPr>
      </w:pPr>
    </w:p>
    <w:p w14:paraId="66EF3BA9" w14:textId="77777777" w:rsidR="00193C89" w:rsidRPr="002864D8" w:rsidRDefault="00193C89" w:rsidP="00D44603">
      <w:pPr>
        <w:spacing w:before="60" w:after="0"/>
        <w:jc w:val="both"/>
        <w:rPr>
          <w:b/>
          <w:noProof/>
          <w:sz w:val="24"/>
          <w:szCs w:val="24"/>
        </w:rPr>
      </w:pPr>
    </w:p>
    <w:p w14:paraId="131EC17F" w14:textId="77777777" w:rsidR="00193C89" w:rsidRPr="002864D8" w:rsidRDefault="00193C89" w:rsidP="00D44603">
      <w:pPr>
        <w:spacing w:before="60" w:after="0"/>
        <w:jc w:val="both"/>
        <w:rPr>
          <w:b/>
          <w:noProof/>
          <w:sz w:val="24"/>
          <w:szCs w:val="24"/>
        </w:rPr>
      </w:pPr>
    </w:p>
    <w:p w14:paraId="012D493A" w14:textId="77777777" w:rsidR="00193C89" w:rsidRPr="002864D8" w:rsidRDefault="00193C89" w:rsidP="00D44603">
      <w:pPr>
        <w:spacing w:before="60" w:after="0"/>
        <w:jc w:val="both"/>
        <w:rPr>
          <w:b/>
          <w:noProof/>
          <w:sz w:val="24"/>
          <w:szCs w:val="24"/>
        </w:rPr>
      </w:pPr>
    </w:p>
    <w:p w14:paraId="1E0F04BF" w14:textId="37277E83" w:rsidR="0057196F" w:rsidRPr="002864D8" w:rsidRDefault="0057196F" w:rsidP="00D44603">
      <w:pPr>
        <w:spacing w:before="60" w:after="0"/>
        <w:jc w:val="both"/>
        <w:rPr>
          <w:b/>
          <w:noProof/>
          <w:sz w:val="24"/>
          <w:szCs w:val="24"/>
        </w:rPr>
      </w:pPr>
      <w:r w:rsidRPr="002864D8">
        <w:rPr>
          <w:b/>
          <w:noProof/>
          <w:sz w:val="24"/>
          <w:szCs w:val="24"/>
        </w:rPr>
        <w:lastRenderedPageBreak/>
        <w:t>Literatur</w:t>
      </w:r>
    </w:p>
    <w:p w14:paraId="4135DBFE" w14:textId="77777777" w:rsidR="0057196F" w:rsidRPr="002864D8" w:rsidRDefault="0057196F" w:rsidP="00D44603">
      <w:pPr>
        <w:spacing w:before="60" w:after="0"/>
        <w:jc w:val="both"/>
        <w:rPr>
          <w:b/>
          <w:noProof/>
          <w:sz w:val="24"/>
          <w:szCs w:val="24"/>
        </w:rPr>
      </w:pPr>
    </w:p>
    <w:p w14:paraId="4A45797D" w14:textId="77777777" w:rsidR="00DA3DD4" w:rsidRPr="002864D8" w:rsidRDefault="00DA3DD4" w:rsidP="00D44603">
      <w:pPr>
        <w:spacing w:before="60" w:after="0"/>
        <w:jc w:val="both"/>
        <w:rPr>
          <w:noProof/>
          <w:sz w:val="24"/>
          <w:szCs w:val="24"/>
        </w:rPr>
      </w:pPr>
      <w:r w:rsidRPr="002864D8">
        <w:rPr>
          <w:noProof/>
          <w:sz w:val="24"/>
          <w:szCs w:val="24"/>
        </w:rPr>
        <w:t xml:space="preserve">Bensmann, D. (2018). </w:t>
      </w:r>
      <w:r w:rsidRPr="002864D8">
        <w:rPr>
          <w:i/>
          <w:noProof/>
          <w:sz w:val="24"/>
          <w:szCs w:val="24"/>
        </w:rPr>
        <w:t>Netzwerke</w:t>
      </w:r>
      <w:r w:rsidRPr="002864D8">
        <w:rPr>
          <w:noProof/>
          <w:sz w:val="24"/>
          <w:szCs w:val="24"/>
        </w:rPr>
        <w:t>. Freiburg: Haufe-Lexware.</w:t>
      </w:r>
    </w:p>
    <w:p w14:paraId="66527E8F" w14:textId="77777777" w:rsidR="00DA3DD4" w:rsidRPr="002864D8" w:rsidRDefault="00DA3DD4" w:rsidP="00D44603">
      <w:pPr>
        <w:spacing w:before="60" w:after="0"/>
        <w:jc w:val="both"/>
        <w:rPr>
          <w:b/>
          <w:noProof/>
          <w:sz w:val="24"/>
          <w:szCs w:val="24"/>
        </w:rPr>
      </w:pPr>
    </w:p>
    <w:p w14:paraId="071F03E8" w14:textId="77777777" w:rsidR="002864D8" w:rsidRDefault="00DA3DD4" w:rsidP="00D44603">
      <w:pPr>
        <w:spacing w:before="60" w:after="0"/>
        <w:jc w:val="both"/>
        <w:rPr>
          <w:noProof/>
          <w:sz w:val="24"/>
          <w:szCs w:val="24"/>
        </w:rPr>
      </w:pPr>
      <w:r w:rsidRPr="002864D8">
        <w:rPr>
          <w:noProof/>
          <w:sz w:val="24"/>
          <w:szCs w:val="24"/>
        </w:rPr>
        <w:t xml:space="preserve">Braune, H. &amp; Strotmann, M. (2014). Arbeitsphasen der Netzwerkarbeit - Gelingensbedingungen und Stolpersteine. Konkrete Ideen zur Durchführung von Netzwerktreffen. In K. Althoff (Hrsg.), </w:t>
      </w:r>
      <w:r w:rsidRPr="002864D8">
        <w:rPr>
          <w:i/>
          <w:noProof/>
          <w:sz w:val="24"/>
          <w:szCs w:val="24"/>
        </w:rPr>
        <w:t xml:space="preserve">Die Netzwerkarbeit im Projekt Lernpotenziale – Rahmenbedingungen und Erfahrungen </w:t>
      </w:r>
      <w:r w:rsidRPr="002864D8">
        <w:rPr>
          <w:noProof/>
          <w:sz w:val="24"/>
          <w:szCs w:val="24"/>
        </w:rPr>
        <w:t>(S</w:t>
      </w:r>
      <w:r w:rsidR="00B96211" w:rsidRPr="002864D8">
        <w:rPr>
          <w:noProof/>
          <w:sz w:val="24"/>
          <w:szCs w:val="24"/>
        </w:rPr>
        <w:t>.</w:t>
      </w:r>
      <w:r w:rsidRPr="002864D8">
        <w:rPr>
          <w:noProof/>
          <w:sz w:val="24"/>
          <w:szCs w:val="24"/>
        </w:rPr>
        <w:t xml:space="preserve"> 36 - 38). Lernpotenziale Heft 3. Münster: Servicea</w:t>
      </w:r>
      <w:r w:rsidR="004E70FD" w:rsidRPr="002864D8">
        <w:rPr>
          <w:noProof/>
          <w:sz w:val="24"/>
          <w:szCs w:val="24"/>
        </w:rPr>
        <w:t>gentur „Ganztägig lernen“ NRW,</w:t>
      </w:r>
      <w:r w:rsidR="00A51205" w:rsidRPr="002864D8">
        <w:rPr>
          <w:noProof/>
          <w:sz w:val="24"/>
          <w:szCs w:val="24"/>
        </w:rPr>
        <w:t xml:space="preserve"> </w:t>
      </w:r>
      <w:r w:rsidRPr="002864D8">
        <w:rPr>
          <w:noProof/>
          <w:sz w:val="24"/>
          <w:szCs w:val="24"/>
        </w:rPr>
        <w:t>Institut für soziale Arbeit e.V.</w:t>
      </w:r>
      <w:r w:rsidR="00D44603" w:rsidRPr="002864D8">
        <w:rPr>
          <w:noProof/>
          <w:sz w:val="24"/>
          <w:szCs w:val="24"/>
        </w:rPr>
        <w:t xml:space="preserve"> </w:t>
      </w:r>
      <w:r w:rsidR="008F44E4" w:rsidRPr="002864D8">
        <w:rPr>
          <w:noProof/>
          <w:sz w:val="24"/>
          <w:szCs w:val="24"/>
        </w:rPr>
        <w:t xml:space="preserve">Aufgerufen am 15.07.2020. Verfügbar unter </w:t>
      </w:r>
    </w:p>
    <w:p w14:paraId="6A5BDF4E" w14:textId="0E6D0329" w:rsidR="008F44E4" w:rsidRPr="002864D8" w:rsidRDefault="002864D8" w:rsidP="00D44603">
      <w:pPr>
        <w:spacing w:before="60" w:after="0"/>
        <w:jc w:val="both"/>
        <w:rPr>
          <w:noProof/>
          <w:sz w:val="24"/>
          <w:szCs w:val="24"/>
        </w:rPr>
      </w:pPr>
      <w:hyperlink r:id="rId7" w:history="1">
        <w:r w:rsidR="008F44E4" w:rsidRPr="002864D8">
          <w:rPr>
            <w:rStyle w:val="Hyperlink"/>
            <w:noProof/>
            <w:sz w:val="24"/>
            <w:szCs w:val="24"/>
          </w:rPr>
          <w:t>https://www.stiftung-mercator.de/media/downloads/3_Publikationen/2017/September/Lernpotenziale_2014_-_Heft3.pdf</w:t>
        </w:r>
      </w:hyperlink>
    </w:p>
    <w:p w14:paraId="4060E273" w14:textId="77777777" w:rsidR="008F44E4" w:rsidRPr="002864D8" w:rsidRDefault="008F44E4" w:rsidP="00D44603">
      <w:pPr>
        <w:spacing w:before="60" w:after="0"/>
        <w:jc w:val="both"/>
        <w:rPr>
          <w:noProof/>
          <w:sz w:val="24"/>
          <w:szCs w:val="24"/>
        </w:rPr>
      </w:pPr>
    </w:p>
    <w:p w14:paraId="4B1A03AF" w14:textId="5EC0B1E5" w:rsidR="008F44E4" w:rsidRPr="002864D8" w:rsidRDefault="00DA3DD4" w:rsidP="00D44603">
      <w:pPr>
        <w:spacing w:before="60" w:after="0"/>
        <w:jc w:val="both"/>
        <w:rPr>
          <w:noProof/>
          <w:sz w:val="24"/>
          <w:szCs w:val="24"/>
        </w:rPr>
      </w:pPr>
      <w:r w:rsidRPr="002864D8">
        <w:rPr>
          <w:noProof/>
          <w:sz w:val="24"/>
          <w:szCs w:val="24"/>
        </w:rPr>
        <w:t xml:space="preserve">Doth, S. &amp; Koch-Wittmann, I. (2014). Berichte und Erfahrungen aus der Netzwerkarbeit - 8. Austausch - Vertrauen und Offenheit in der Netzwerkarbeit entwickeln. In K. Althoff (Hrsg.), </w:t>
      </w:r>
      <w:r w:rsidRPr="002864D8">
        <w:rPr>
          <w:i/>
          <w:noProof/>
          <w:sz w:val="24"/>
          <w:szCs w:val="24"/>
        </w:rPr>
        <w:t xml:space="preserve">Die Netzwerkarbeit im Projekt Lernpotenziale – Rahmenbedingungen und Erfahrungen </w:t>
      </w:r>
      <w:r w:rsidRPr="002864D8">
        <w:rPr>
          <w:noProof/>
          <w:sz w:val="24"/>
          <w:szCs w:val="24"/>
        </w:rPr>
        <w:t>(S. 43 - 45). Lernpotenziale Heft 3. Münster: Servicea</w:t>
      </w:r>
      <w:r w:rsidR="004E70FD" w:rsidRPr="002864D8">
        <w:rPr>
          <w:noProof/>
          <w:sz w:val="24"/>
          <w:szCs w:val="24"/>
        </w:rPr>
        <w:t xml:space="preserve">gentur „Ganztägig lernen“ NRW, </w:t>
      </w:r>
      <w:r w:rsidRPr="002864D8">
        <w:rPr>
          <w:noProof/>
          <w:sz w:val="24"/>
          <w:szCs w:val="24"/>
        </w:rPr>
        <w:t>Institut für soziale Arbeit e.V.</w:t>
      </w:r>
      <w:r w:rsidR="00D44603" w:rsidRPr="002864D8">
        <w:rPr>
          <w:noProof/>
          <w:sz w:val="24"/>
          <w:szCs w:val="24"/>
        </w:rPr>
        <w:t xml:space="preserve"> </w:t>
      </w:r>
      <w:r w:rsidR="008F44E4" w:rsidRPr="002864D8">
        <w:rPr>
          <w:noProof/>
          <w:sz w:val="24"/>
          <w:szCs w:val="24"/>
        </w:rPr>
        <w:t xml:space="preserve">Aufgerufen am 15.07.2020. Verfügbar unter </w:t>
      </w:r>
      <w:hyperlink r:id="rId8" w:history="1">
        <w:r w:rsidR="008F44E4" w:rsidRPr="002864D8">
          <w:rPr>
            <w:rStyle w:val="Hyperlink"/>
            <w:noProof/>
            <w:sz w:val="24"/>
            <w:szCs w:val="24"/>
          </w:rPr>
          <w:t>https://www.stiftung-mercator.de/media/downloads/3_Publikationen/2017/September/Lernpotenziale_2014_-_Heft3.pdf</w:t>
        </w:r>
      </w:hyperlink>
    </w:p>
    <w:p w14:paraId="7F4E6D1F" w14:textId="77777777" w:rsidR="008F44E4" w:rsidRPr="002864D8" w:rsidRDefault="008F44E4" w:rsidP="00D44603">
      <w:pPr>
        <w:spacing w:before="60" w:after="0"/>
        <w:jc w:val="both"/>
        <w:rPr>
          <w:noProof/>
          <w:sz w:val="24"/>
          <w:szCs w:val="24"/>
        </w:rPr>
      </w:pPr>
    </w:p>
    <w:p w14:paraId="59D1E4A7" w14:textId="190C9382" w:rsidR="00DA3DD4" w:rsidRPr="002864D8" w:rsidRDefault="00DA3DD4" w:rsidP="00D44603">
      <w:pPr>
        <w:spacing w:before="60" w:after="0"/>
        <w:jc w:val="both"/>
        <w:rPr>
          <w:noProof/>
          <w:sz w:val="24"/>
          <w:szCs w:val="24"/>
        </w:rPr>
      </w:pPr>
      <w:r w:rsidRPr="002864D8">
        <w:rPr>
          <w:noProof/>
          <w:sz w:val="24"/>
          <w:szCs w:val="24"/>
        </w:rPr>
        <w:t xml:space="preserve">Gottmann, C. (2009). </w:t>
      </w:r>
      <w:r w:rsidR="00602788" w:rsidRPr="002864D8">
        <w:rPr>
          <w:noProof/>
          <w:sz w:val="24"/>
          <w:szCs w:val="24"/>
        </w:rPr>
        <w:t>Das Schulnetzwerk "Reformzeit - Schulentwicklung in Partnerschaft" - Eine Zwischenbilanz aus Sicht der externen Evaluation</w:t>
      </w:r>
      <w:r w:rsidRPr="002864D8">
        <w:rPr>
          <w:noProof/>
          <w:sz w:val="24"/>
          <w:szCs w:val="24"/>
        </w:rPr>
        <w:t xml:space="preserve">. In N. Berkemeyer, H. Kuper, V. Manitius &amp; K. Müthing (Hrsg.), </w:t>
      </w:r>
      <w:r w:rsidRPr="002864D8">
        <w:rPr>
          <w:i/>
          <w:noProof/>
          <w:sz w:val="24"/>
          <w:szCs w:val="24"/>
        </w:rPr>
        <w:t>Schulische Vernetzung. Eine Übersicht zu aktuellen Netzwerkprojekten</w:t>
      </w:r>
      <w:r w:rsidRPr="002864D8">
        <w:rPr>
          <w:noProof/>
          <w:sz w:val="24"/>
          <w:szCs w:val="24"/>
        </w:rPr>
        <w:t xml:space="preserve"> (S. 31 - 48). Münster: Waxmann.</w:t>
      </w:r>
    </w:p>
    <w:p w14:paraId="643DAE36" w14:textId="77777777" w:rsidR="00DA3DD4" w:rsidRPr="002864D8" w:rsidRDefault="00DA3DD4" w:rsidP="00D44603">
      <w:pPr>
        <w:spacing w:before="60" w:after="0"/>
        <w:jc w:val="both"/>
        <w:rPr>
          <w:noProof/>
          <w:sz w:val="24"/>
          <w:szCs w:val="24"/>
        </w:rPr>
      </w:pPr>
    </w:p>
    <w:p w14:paraId="4A83011B" w14:textId="77777777" w:rsidR="00DA3DD4" w:rsidRPr="002864D8" w:rsidRDefault="00DA3DD4" w:rsidP="00D44603">
      <w:pPr>
        <w:spacing w:before="60" w:after="0"/>
        <w:jc w:val="both"/>
        <w:rPr>
          <w:b/>
          <w:noProof/>
          <w:sz w:val="24"/>
          <w:szCs w:val="24"/>
        </w:rPr>
      </w:pPr>
    </w:p>
    <w:sectPr w:rsidR="00DA3DD4" w:rsidRPr="002864D8" w:rsidSect="00812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F7EB9" w14:textId="77777777" w:rsidR="008B7B04" w:rsidRDefault="008B7B04" w:rsidP="00502758">
      <w:pPr>
        <w:spacing w:after="0" w:line="240" w:lineRule="auto"/>
      </w:pPr>
      <w:r>
        <w:separator/>
      </w:r>
    </w:p>
  </w:endnote>
  <w:endnote w:type="continuationSeparator" w:id="0">
    <w:p w14:paraId="57D879C1" w14:textId="77777777" w:rsidR="008B7B04" w:rsidRDefault="008B7B04" w:rsidP="0050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52DC2" w14:textId="77777777" w:rsidR="00547CF8" w:rsidRDefault="00547C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id w:val="65943620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2B4AD98B" w14:textId="4ABB4E4B" w:rsidR="00F45A3A" w:rsidRDefault="00F45A3A" w:rsidP="00F45A3A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>
          <w:rPr>
            <w:noProof/>
          </w:rPr>
          <w:pict w14:anchorId="1D61C47A">
            <v:group id="Gruppieren 6" o:spid="_x0000_s2089" alt="Gruppe 33" style="position:absolute;margin-left:-7.55pt;margin-top:769pt;width:610.45pt;height:15pt;z-index:-251642880;mso-wrap-distance-left:12pt;mso-wrap-distance-top:12pt;mso-wrap-distance-right:12pt;mso-wrap-distance-bottom:12pt;mso-position-horizontal-relative:page;mso-position-vertical-relative:page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90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" filled="f" stroked="f" strokeweight="1pt">
                <v:stroke miterlimit="4"/>
                <v:textbox inset="0,0,0,0">
                  <w:txbxContent>
                    <w:p w14:paraId="0706CF49" w14:textId="2F6D5510" w:rsidR="00F45A3A" w:rsidRDefault="00F45A3A" w:rsidP="00F45A3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 w:rsidR="003751D0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1" o:spid="_x0000_s2091" style="position:absolute;width:77533;height:1460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AutoShape 27" o:spid="_x0000_s2092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" path="m,l10800,r,21600l21600,21600e" filled="f" strokecolor="#a5a5a5">
                  <v:stroke joinstyle="miter"/>
                  <v:path arrowok="t" o:extrusionok="f" o:connecttype="custom" o:connectlocs="398581,73026;398581,73026;398581,73026;398581,73026" o:connectangles="0,90,180,270"/>
                </v:shape>
                <v:shape id="AutoShape 28" o:spid="_x0000_s2093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" path="m,l20904,r,21600l21600,21600e" filled="f" strokecolor="#a5a5a5">
                  <v:stroke joinstyle="miter"/>
                  <v:path arrowok="t" o:extrusionok="f" o:connecttype="custom" o:connectlocs="3478089,73026;3478089,73026;3478089,73026;3478089,73026" o:connectangles="0,90,180,270"/>
                </v:shape>
              </v:group>
              <w10:wrap anchorx="page" anchory="page"/>
            </v:group>
          </w:pic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Diese </w:t>
        </w:r>
        <w:r>
          <w:rPr>
            <w:rFonts w:ascii="Calibri" w:hAnsi="Calibri" w:cs="Calibri"/>
            <w:color w:val="333333"/>
            <w:sz w:val="18"/>
            <w:szCs w:val="18"/>
          </w:rPr>
          <w:t>Beschreibung</w: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(Titel, Untertitel, Text, Logo, etc.) steht unter der Lizenz </w:t>
        </w:r>
        <w:hyperlink r:id="rId1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CC BY-SA 4.0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und kann unter deren Bedingungen kostenlos und frei verwendet, verändert und weitergegeben werden. </w:t>
        </w:r>
      </w:p>
      <w:p w14:paraId="718881E9" w14:textId="77777777" w:rsidR="00F45A3A" w:rsidRDefault="00F45A3A" w:rsidP="00F45A3A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 w:rsidRPr="004B03DC">
          <w:rPr>
            <w:rFonts w:ascii="Calibri" w:hAnsi="Calibri" w:cs="Calibri"/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58240" behindDoc="0" locked="0" layoutInCell="1" allowOverlap="1" wp14:anchorId="775A0C99" wp14:editId="54A25014">
              <wp:simplePos x="0" y="0"/>
              <wp:positionH relativeFrom="column">
                <wp:posOffset>5391785</wp:posOffset>
              </wp:positionH>
              <wp:positionV relativeFrom="paragraph">
                <wp:posOffset>1905</wp:posOffset>
              </wp:positionV>
              <wp:extent cx="907415" cy="3175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313" y="20736"/>
                  <wp:lineTo x="21313" y="0"/>
                  <wp:lineTo x="0" y="0"/>
                </wp:wrapPolygon>
              </wp:wrapThrough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y-sa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415" cy="31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Urheber im Sinne der Lizenz ist die </w:t>
        </w:r>
        <w:hyperlink r:id="rId3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QUA-LiS NRW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>.</w:t>
        </w:r>
      </w:p>
      <w:p w14:paraId="1CECAE60" w14:textId="77777777" w:rsidR="00F45A3A" w:rsidRPr="00AF50B7" w:rsidRDefault="00F45A3A" w:rsidP="00F45A3A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</w:p>
    </w:sdtContent>
  </w:sdt>
  <w:bookmarkEnd w:id="0"/>
  <w:p w14:paraId="75E8D95D" w14:textId="78BD3EFB" w:rsidR="00CB5BB4" w:rsidRPr="00F45A3A" w:rsidRDefault="00CB5BB4" w:rsidP="00F45A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8C64" w14:textId="77777777" w:rsidR="00547CF8" w:rsidRDefault="00547C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B73BD" w14:textId="77777777" w:rsidR="008B7B04" w:rsidRDefault="008B7B04" w:rsidP="00502758">
      <w:pPr>
        <w:spacing w:after="0" w:line="240" w:lineRule="auto"/>
      </w:pPr>
      <w:r>
        <w:separator/>
      </w:r>
    </w:p>
  </w:footnote>
  <w:footnote w:type="continuationSeparator" w:id="0">
    <w:p w14:paraId="05884624" w14:textId="77777777" w:rsidR="008B7B04" w:rsidRDefault="008B7B04" w:rsidP="0050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5F3A" w14:textId="77777777" w:rsidR="00547CF8" w:rsidRDefault="00547C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CA82" w14:textId="00E92950" w:rsidR="00CB5BB4" w:rsidRPr="007A3DB8" w:rsidRDefault="00CB5BB4" w:rsidP="00CB5BB4">
    <w:pPr>
      <w:framePr w:w="2058" w:h="1411" w:hSpace="142" w:wrap="notBeside" w:vAnchor="page" w:hAnchor="page" w:x="7404" w:y="736"/>
      <w:rPr>
        <w:b/>
        <w:sz w:val="16"/>
        <w:szCs w:val="16"/>
      </w:rPr>
    </w:pPr>
    <w:r w:rsidRPr="007A3DB8">
      <w:rPr>
        <w:rFonts w:cs="Arial"/>
        <w:b/>
        <w:sz w:val="16"/>
        <w:szCs w:val="16"/>
      </w:rPr>
      <w:t>Qualitäts- und</w:t>
    </w:r>
    <w:r>
      <w:rPr>
        <w:rFonts w:cs="Arial"/>
        <w:b/>
        <w:sz w:val="16"/>
        <w:szCs w:val="16"/>
      </w:rPr>
      <w:br/>
    </w:r>
    <w:r w:rsidRPr="007A3DB8">
      <w:rPr>
        <w:rFonts w:cs="Arial"/>
        <w:b/>
        <w:sz w:val="16"/>
        <w:szCs w:val="16"/>
      </w:rPr>
      <w:t>UnterstützungsAgentur</w:t>
    </w:r>
    <w:r>
      <w:rPr>
        <w:rFonts w:cs="Arial"/>
        <w:b/>
        <w:sz w:val="16"/>
        <w:szCs w:val="16"/>
      </w:rPr>
      <w:t xml:space="preserve"> -</w:t>
    </w:r>
    <w:r>
      <w:rPr>
        <w:rFonts w:cs="Arial"/>
        <w:b/>
        <w:sz w:val="16"/>
        <w:szCs w:val="16"/>
      </w:rPr>
      <w:br/>
    </w:r>
    <w:r w:rsidRPr="007A3DB8">
      <w:rPr>
        <w:rFonts w:cs="Arial"/>
        <w:b/>
        <w:sz w:val="16"/>
        <w:szCs w:val="16"/>
      </w:rPr>
      <w:t xml:space="preserve">Landesinstitut für Schule </w:t>
    </w:r>
  </w:p>
  <w:p w14:paraId="5EC8BDE2" w14:textId="77777777" w:rsidR="00CB5BB4" w:rsidRDefault="00CB5BB4" w:rsidP="00CB5BB4">
    <w:pPr>
      <w:jc w:val="right"/>
      <w:rPr>
        <w:b/>
        <w:bCs/>
        <w:sz w:val="16"/>
        <w:szCs w:val="16"/>
      </w:rPr>
    </w:pPr>
    <w:r>
      <w:rPr>
        <w:noProof/>
        <w:lang w:eastAsia="de-DE"/>
      </w:rPr>
      <w:drawing>
        <wp:anchor distT="152400" distB="152400" distL="152400" distR="152400" simplePos="0" relativeHeight="251643904" behindDoc="1" locked="0" layoutInCell="1" allowOverlap="1" wp14:anchorId="5A419962" wp14:editId="21A62928">
          <wp:simplePos x="0" y="0"/>
          <wp:positionH relativeFrom="page">
            <wp:posOffset>840105</wp:posOffset>
          </wp:positionH>
          <wp:positionV relativeFrom="page">
            <wp:posOffset>389255</wp:posOffset>
          </wp:positionV>
          <wp:extent cx="2232025" cy="702310"/>
          <wp:effectExtent l="0" t="0" r="0" b="0"/>
          <wp:wrapNone/>
          <wp:docPr id="1073741825" name="officeArt object" descr="Grafi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10" descr="Grafik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2025" cy="702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152400" distB="152400" distL="152400" distR="152400" simplePos="0" relativeHeight="251656192" behindDoc="1" locked="0" layoutInCell="1" allowOverlap="1" wp14:anchorId="7E85B43A" wp14:editId="6A6006F6">
          <wp:simplePos x="0" y="0"/>
          <wp:positionH relativeFrom="page">
            <wp:posOffset>9751695</wp:posOffset>
          </wp:positionH>
          <wp:positionV relativeFrom="page">
            <wp:posOffset>540385</wp:posOffset>
          </wp:positionV>
          <wp:extent cx="543560" cy="579755"/>
          <wp:effectExtent l="0" t="0" r="0" b="0"/>
          <wp:wrapNone/>
          <wp:docPr id="1073741826" name="officeArt object" descr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1" descr="Grafik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3560" cy="579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152400" distB="152400" distL="152400" distR="152400" simplePos="0" relativeHeight="251670528" behindDoc="1" locked="0" layoutInCell="1" allowOverlap="1" wp14:anchorId="00F7E8CF" wp14:editId="41AAEDB8">
          <wp:simplePos x="0" y="0"/>
          <wp:positionH relativeFrom="page">
            <wp:posOffset>6093460</wp:posOffset>
          </wp:positionH>
          <wp:positionV relativeFrom="page">
            <wp:posOffset>490855</wp:posOffset>
          </wp:positionV>
          <wp:extent cx="543560" cy="579755"/>
          <wp:effectExtent l="0" t="0" r="0" b="0"/>
          <wp:wrapNone/>
          <wp:docPr id="1073741827" name="officeArt object" descr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afik 1" descr="Grafik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3560" cy="579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  <w:p w14:paraId="1CACDF4B" w14:textId="1DC3BD5D" w:rsidR="00CB5BB4" w:rsidRDefault="00CB5BB4" w:rsidP="00CB5BB4">
    <w:pPr>
      <w:pStyle w:val="Kopfzeile"/>
      <w:tabs>
        <w:tab w:val="clear" w:pos="9072"/>
        <w:tab w:val="right" w:pos="9046"/>
      </w:tabs>
      <w:spacing w:after="240"/>
    </w:pPr>
    <w:r>
      <w:tab/>
    </w:r>
    <w:r>
      <w:tab/>
    </w:r>
  </w:p>
  <w:p w14:paraId="5B24F765" w14:textId="515C4018" w:rsidR="00CB5BB4" w:rsidRDefault="00CB5BB4">
    <w:pPr>
      <w:pStyle w:val="Kopfzeile"/>
    </w:pPr>
  </w:p>
  <w:p w14:paraId="14CD31C4" w14:textId="77777777" w:rsidR="00A51205" w:rsidRDefault="00A51205" w:rsidP="00A51205">
    <w:pPr>
      <w:pStyle w:val="Kopfzeile"/>
      <w:jc w:val="center"/>
    </w:pPr>
    <w:r w:rsidRPr="00D3700B">
      <w:rPr>
        <w:i/>
      </w:rPr>
      <w:t xml:space="preserve">Fortbildungsmaterialien </w:t>
    </w:r>
    <w:r w:rsidRPr="0003158C">
      <w:rPr>
        <w:i/>
      </w:rPr>
      <w:t>zur Schul- und Unterrichtsentwicklung aus Netzwerkprojekten</w:t>
    </w:r>
  </w:p>
  <w:p w14:paraId="5B13B421" w14:textId="0C142BFE" w:rsidR="00A51205" w:rsidRDefault="00A512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52D4" w14:textId="77777777" w:rsidR="00547CF8" w:rsidRDefault="00547C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462"/>
    <w:multiLevelType w:val="hybridMultilevel"/>
    <w:tmpl w:val="E8407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41FB"/>
    <w:multiLevelType w:val="hybridMultilevel"/>
    <w:tmpl w:val="063E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7DA"/>
    <w:multiLevelType w:val="hybridMultilevel"/>
    <w:tmpl w:val="08A4E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7928"/>
    <w:multiLevelType w:val="hybridMultilevel"/>
    <w:tmpl w:val="AF527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C4691"/>
    <w:multiLevelType w:val="hybridMultilevel"/>
    <w:tmpl w:val="40E4E6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E04737"/>
    <w:multiLevelType w:val="hybridMultilevel"/>
    <w:tmpl w:val="7B82A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B4CAF"/>
    <w:multiLevelType w:val="hybridMultilevel"/>
    <w:tmpl w:val="44969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32A1D"/>
    <w:multiLevelType w:val="hybridMultilevel"/>
    <w:tmpl w:val="CC101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B3973"/>
    <w:multiLevelType w:val="hybridMultilevel"/>
    <w:tmpl w:val="7BCA79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C96D2E"/>
    <w:multiLevelType w:val="hybridMultilevel"/>
    <w:tmpl w:val="99E8C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2329C"/>
    <w:multiLevelType w:val="hybridMultilevel"/>
    <w:tmpl w:val="B2CAA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329CC"/>
    <w:multiLevelType w:val="hybridMultilevel"/>
    <w:tmpl w:val="45D6A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11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053"/>
    <w:rsid w:val="0000559D"/>
    <w:rsid w:val="000130E3"/>
    <w:rsid w:val="00014AFD"/>
    <w:rsid w:val="00077B89"/>
    <w:rsid w:val="00090209"/>
    <w:rsid w:val="000A3002"/>
    <w:rsid w:val="00193C89"/>
    <w:rsid w:val="0021477B"/>
    <w:rsid w:val="002152FE"/>
    <w:rsid w:val="002864D8"/>
    <w:rsid w:val="002F3BD0"/>
    <w:rsid w:val="003503E2"/>
    <w:rsid w:val="00373C8D"/>
    <w:rsid w:val="003751D0"/>
    <w:rsid w:val="003A46F2"/>
    <w:rsid w:val="003A4F8D"/>
    <w:rsid w:val="003B1591"/>
    <w:rsid w:val="00427053"/>
    <w:rsid w:val="00461775"/>
    <w:rsid w:val="00475E4F"/>
    <w:rsid w:val="00492D5B"/>
    <w:rsid w:val="004A6F61"/>
    <w:rsid w:val="004E70FD"/>
    <w:rsid w:val="00502758"/>
    <w:rsid w:val="00514636"/>
    <w:rsid w:val="00547CF8"/>
    <w:rsid w:val="0057196F"/>
    <w:rsid w:val="00602788"/>
    <w:rsid w:val="00610D78"/>
    <w:rsid w:val="00617A2E"/>
    <w:rsid w:val="006F70D5"/>
    <w:rsid w:val="00730DE3"/>
    <w:rsid w:val="007A1230"/>
    <w:rsid w:val="007A638C"/>
    <w:rsid w:val="007E1E6F"/>
    <w:rsid w:val="00805E9E"/>
    <w:rsid w:val="00812F66"/>
    <w:rsid w:val="00830B00"/>
    <w:rsid w:val="00833E20"/>
    <w:rsid w:val="00873697"/>
    <w:rsid w:val="008929F9"/>
    <w:rsid w:val="008B7B04"/>
    <w:rsid w:val="008C6B16"/>
    <w:rsid w:val="008E5F85"/>
    <w:rsid w:val="008F44E4"/>
    <w:rsid w:val="00910259"/>
    <w:rsid w:val="00945759"/>
    <w:rsid w:val="00A50DF1"/>
    <w:rsid w:val="00A51205"/>
    <w:rsid w:val="00AD4FD5"/>
    <w:rsid w:val="00AE15C8"/>
    <w:rsid w:val="00AF4D74"/>
    <w:rsid w:val="00B30981"/>
    <w:rsid w:val="00B623AF"/>
    <w:rsid w:val="00B96211"/>
    <w:rsid w:val="00BC516F"/>
    <w:rsid w:val="00C016F8"/>
    <w:rsid w:val="00C80E75"/>
    <w:rsid w:val="00C91E82"/>
    <w:rsid w:val="00CA1C33"/>
    <w:rsid w:val="00CB5BB4"/>
    <w:rsid w:val="00CC12F4"/>
    <w:rsid w:val="00CE77D6"/>
    <w:rsid w:val="00D040F9"/>
    <w:rsid w:val="00D44603"/>
    <w:rsid w:val="00D47EC0"/>
    <w:rsid w:val="00D53677"/>
    <w:rsid w:val="00DA3DD4"/>
    <w:rsid w:val="00EE07E5"/>
    <w:rsid w:val="00F45A3A"/>
    <w:rsid w:val="00F75A61"/>
    <w:rsid w:val="00FD11AE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,"/>
  <w:listSeparator w:val=";"/>
  <w14:docId w14:val="30570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12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0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2758"/>
  </w:style>
  <w:style w:type="paragraph" w:styleId="Fuzeile">
    <w:name w:val="footer"/>
    <w:basedOn w:val="Standard"/>
    <w:link w:val="FuzeileZchn"/>
    <w:uiPriority w:val="99"/>
    <w:unhideWhenUsed/>
    <w:rsid w:val="0050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275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75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A1230"/>
    <w:pPr>
      <w:ind w:left="720"/>
      <w:contextualSpacing/>
    </w:pPr>
  </w:style>
  <w:style w:type="character" w:styleId="Hyperlink">
    <w:name w:val="Hyperlink"/>
    <w:basedOn w:val="Absatz-Standardschriftart"/>
    <w:rsid w:val="0057196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A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A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A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A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A61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617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ftung-mercator.de/media/downloads/3_Publikationen/2017/September/Lernpotenziale_2014_-_Heft3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tiftung-mercator.de/media/downloads/3_Publikationen/2017/September/Lernpotenziale_2014_-_Heft3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sa/4.0/deed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1246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2022-10-13T12:23:00Z</dcterms:created>
  <dcterms:modified xsi:type="dcterms:W3CDTF">2022-12-12T11:14:00Z</dcterms:modified>
</cp:coreProperties>
</file>